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EDEB4" w14:textId="33F79C17" w:rsidR="00ED0FB9" w:rsidRDefault="00B656FC" w:rsidP="00637B25">
      <w:pPr>
        <w:spacing w:after="200" w:line="240" w:lineRule="auto"/>
        <w:jc w:val="center"/>
        <w:rPr>
          <w:b/>
        </w:rPr>
      </w:pPr>
      <w:r>
        <w:rPr>
          <w:b/>
        </w:rPr>
        <w:t xml:space="preserve"> </w:t>
      </w:r>
    </w:p>
    <w:p w14:paraId="26C2630E" w14:textId="77777777" w:rsidR="00ED0FB9" w:rsidRDefault="00ED0FB9" w:rsidP="00637B25">
      <w:pPr>
        <w:spacing w:after="200" w:line="240" w:lineRule="auto"/>
        <w:jc w:val="center"/>
        <w:rPr>
          <w:b/>
        </w:rPr>
      </w:pPr>
    </w:p>
    <w:p w14:paraId="0A5EC464" w14:textId="77777777" w:rsidR="00ED0FB9" w:rsidRDefault="00ED0FB9" w:rsidP="00637B25">
      <w:pPr>
        <w:spacing w:after="200" w:line="240" w:lineRule="auto"/>
        <w:jc w:val="center"/>
        <w:rPr>
          <w:b/>
        </w:rPr>
      </w:pPr>
    </w:p>
    <w:p w14:paraId="70A0F290" w14:textId="77777777" w:rsidR="00ED0FB9" w:rsidRDefault="00ED0FB9" w:rsidP="00637B25">
      <w:pPr>
        <w:spacing w:after="200" w:line="240" w:lineRule="auto"/>
        <w:jc w:val="center"/>
        <w:rPr>
          <w:b/>
        </w:rPr>
      </w:pPr>
    </w:p>
    <w:p w14:paraId="69866E07" w14:textId="77777777" w:rsidR="00ED0FB9" w:rsidRDefault="00ED0FB9" w:rsidP="00637B25">
      <w:pPr>
        <w:spacing w:after="200" w:line="240" w:lineRule="auto"/>
        <w:jc w:val="center"/>
        <w:rPr>
          <w:b/>
        </w:rPr>
      </w:pPr>
    </w:p>
    <w:p w14:paraId="6537FC26" w14:textId="77777777" w:rsidR="00ED0FB9" w:rsidRPr="0070561A" w:rsidRDefault="00ED0FB9" w:rsidP="0070561A">
      <w:pPr>
        <w:spacing w:after="200" w:line="240" w:lineRule="auto"/>
        <w:jc w:val="center"/>
        <w:rPr>
          <w:b/>
          <w:sz w:val="28"/>
          <w:szCs w:val="28"/>
        </w:rPr>
      </w:pPr>
    </w:p>
    <w:p w14:paraId="2F903EE7" w14:textId="77777777" w:rsidR="0070561A" w:rsidRDefault="0070561A" w:rsidP="0070561A">
      <w:pPr>
        <w:pStyle w:val="PlainText"/>
        <w:jc w:val="center"/>
        <w:rPr>
          <w:rFonts w:ascii="Arial" w:hAnsi="Arial" w:cs="Arial"/>
          <w:b/>
          <w:sz w:val="32"/>
          <w:szCs w:val="32"/>
        </w:rPr>
      </w:pPr>
      <w:r w:rsidRPr="0070561A">
        <w:rPr>
          <w:rFonts w:ascii="Arial" w:hAnsi="Arial" w:cs="Arial"/>
          <w:b/>
          <w:sz w:val="32"/>
          <w:szCs w:val="32"/>
        </w:rPr>
        <w:t xml:space="preserve">Regulation by Conjecture: </w:t>
      </w:r>
    </w:p>
    <w:p w14:paraId="64F05B42" w14:textId="4BCA00E7" w:rsidR="0070561A" w:rsidRPr="0070561A" w:rsidRDefault="0070561A" w:rsidP="0070561A">
      <w:pPr>
        <w:pStyle w:val="PlainText"/>
        <w:jc w:val="center"/>
        <w:rPr>
          <w:rFonts w:ascii="Arial" w:hAnsi="Arial" w:cs="Arial"/>
          <w:b/>
          <w:sz w:val="32"/>
          <w:szCs w:val="32"/>
        </w:rPr>
      </w:pPr>
      <w:r w:rsidRPr="0070561A">
        <w:rPr>
          <w:rFonts w:ascii="Arial" w:hAnsi="Arial" w:cs="Arial"/>
          <w:b/>
          <w:sz w:val="32"/>
          <w:szCs w:val="32"/>
        </w:rPr>
        <w:t>Central Bankers’ Push to Regulate Capital Markets</w:t>
      </w:r>
    </w:p>
    <w:p w14:paraId="57C4A22C" w14:textId="77777777" w:rsidR="00D637F5" w:rsidRPr="00B93458" w:rsidRDefault="00D637F5" w:rsidP="00D637F5">
      <w:pPr>
        <w:pStyle w:val="Heading1"/>
        <w:spacing w:line="360" w:lineRule="auto"/>
        <w:jc w:val="center"/>
        <w:rPr>
          <w:rFonts w:ascii="Arial" w:hAnsi="Arial" w:cs="Arial"/>
        </w:rPr>
      </w:pPr>
    </w:p>
    <w:p w14:paraId="236C6698" w14:textId="16691CC0" w:rsidR="00C153CA" w:rsidRDefault="00C153CA" w:rsidP="000927DF">
      <w:pPr>
        <w:pStyle w:val="Heading1"/>
        <w:spacing w:line="360" w:lineRule="auto"/>
        <w:jc w:val="center"/>
        <w:rPr>
          <w:rFonts w:ascii="Arial" w:hAnsi="Arial" w:cs="Arial"/>
          <w:b w:val="0"/>
        </w:rPr>
      </w:pPr>
      <w:r>
        <w:rPr>
          <w:rFonts w:ascii="Arial" w:hAnsi="Arial" w:cs="Arial"/>
          <w:b w:val="0"/>
        </w:rPr>
        <w:t>2015 DUFAS Investment Management Forum</w:t>
      </w:r>
      <w:r>
        <w:rPr>
          <w:rFonts w:ascii="Arial" w:hAnsi="Arial" w:cs="Arial"/>
          <w:b w:val="0"/>
        </w:rPr>
        <w:br/>
        <w:t>Wednesday</w:t>
      </w:r>
      <w:r w:rsidRPr="006537CE">
        <w:rPr>
          <w:rFonts w:ascii="Arial" w:hAnsi="Arial" w:cs="Arial"/>
          <w:b w:val="0"/>
        </w:rPr>
        <w:br/>
      </w:r>
      <w:r>
        <w:rPr>
          <w:rFonts w:ascii="Arial" w:hAnsi="Arial" w:cs="Arial"/>
          <w:b w:val="0"/>
        </w:rPr>
        <w:t>10 June</w:t>
      </w:r>
      <w:r w:rsidRPr="006537CE">
        <w:rPr>
          <w:rFonts w:ascii="Arial" w:hAnsi="Arial" w:cs="Arial"/>
          <w:b w:val="0"/>
        </w:rPr>
        <w:t xml:space="preserve"> 2015</w:t>
      </w:r>
    </w:p>
    <w:p w14:paraId="0FDE029D" w14:textId="0504592B" w:rsidR="00D637F5" w:rsidRPr="006537CE" w:rsidRDefault="003A2CB8" w:rsidP="00637B25">
      <w:pPr>
        <w:pStyle w:val="Heading1"/>
        <w:spacing w:line="360" w:lineRule="auto"/>
        <w:jc w:val="center"/>
        <w:rPr>
          <w:rFonts w:ascii="Arial" w:hAnsi="Arial" w:cs="Arial"/>
          <w:b w:val="0"/>
        </w:rPr>
      </w:pPr>
      <w:r>
        <w:rPr>
          <w:rFonts w:ascii="Arial" w:hAnsi="Arial" w:cs="Arial"/>
          <w:b w:val="0"/>
        </w:rPr>
        <w:t>Dan Waters</w:t>
      </w:r>
      <w:r w:rsidR="00D637F5" w:rsidRPr="006537CE">
        <w:rPr>
          <w:rFonts w:ascii="Arial" w:hAnsi="Arial" w:cs="Arial"/>
          <w:b w:val="0"/>
        </w:rPr>
        <w:br/>
      </w:r>
      <w:r>
        <w:rPr>
          <w:rFonts w:ascii="Arial" w:hAnsi="Arial" w:cs="Arial"/>
          <w:b w:val="0"/>
        </w:rPr>
        <w:t>Managing Director</w:t>
      </w:r>
      <w:r w:rsidR="00D637F5" w:rsidRPr="006537CE">
        <w:rPr>
          <w:rFonts w:ascii="Arial" w:hAnsi="Arial" w:cs="Arial"/>
          <w:b w:val="0"/>
        </w:rPr>
        <w:br/>
        <w:t>ICI</w:t>
      </w:r>
      <w:r>
        <w:rPr>
          <w:rFonts w:ascii="Arial" w:hAnsi="Arial" w:cs="Arial"/>
          <w:b w:val="0"/>
        </w:rPr>
        <w:t xml:space="preserve"> Global</w:t>
      </w:r>
    </w:p>
    <w:p w14:paraId="34E55DC9" w14:textId="43DE046A" w:rsidR="00637B25" w:rsidRDefault="00D637F5">
      <w:pPr>
        <w:spacing w:after="200" w:line="276" w:lineRule="auto"/>
        <w:rPr>
          <w:rFonts w:ascii="Arial" w:hAnsi="Arial" w:cs="Arial"/>
          <w:b/>
          <w:i/>
        </w:rPr>
      </w:pPr>
      <w:r>
        <w:br w:type="page"/>
      </w:r>
    </w:p>
    <w:p w14:paraId="4A5AE167" w14:textId="0321A6DA" w:rsidR="00E10B8B" w:rsidRDefault="00E10B8B" w:rsidP="0070561A">
      <w:pPr>
        <w:ind w:left="2160"/>
        <w:rPr>
          <w:rFonts w:ascii="Arial" w:hAnsi="Arial" w:cs="Arial"/>
        </w:rPr>
      </w:pPr>
      <w:r w:rsidRPr="00E10B8B">
        <w:rPr>
          <w:rFonts w:ascii="Arial" w:hAnsi="Arial" w:cs="Arial"/>
          <w:noProof/>
        </w:rPr>
        <w:lastRenderedPageBreak/>
        <w:drawing>
          <wp:inline distT="0" distB="0" distL="0" distR="0" wp14:anchorId="3D0AA434" wp14:editId="5C4A42C5">
            <wp:extent cx="4572638" cy="2572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p>
    <w:p w14:paraId="531C5BC8" w14:textId="540CD18B" w:rsidR="003A2CB8" w:rsidRDefault="00637B25" w:rsidP="0070561A">
      <w:pPr>
        <w:ind w:left="2160"/>
        <w:rPr>
          <w:rFonts w:ascii="Arial" w:hAnsi="Arial" w:cs="Arial"/>
        </w:rPr>
      </w:pPr>
      <w:bookmarkStart w:id="0" w:name="_GoBack"/>
      <w:r>
        <w:rPr>
          <w:rFonts w:ascii="Arial" w:hAnsi="Arial" w:cs="Arial"/>
        </w:rPr>
        <w:t xml:space="preserve">Good </w:t>
      </w:r>
      <w:r w:rsidR="00AE3C81">
        <w:rPr>
          <w:rFonts w:ascii="Arial" w:hAnsi="Arial" w:cs="Arial"/>
        </w:rPr>
        <w:t>afternoon</w:t>
      </w:r>
      <w:r w:rsidR="00356708">
        <w:rPr>
          <w:rFonts w:ascii="Arial" w:hAnsi="Arial" w:cs="Arial"/>
        </w:rPr>
        <w:t xml:space="preserve"> and</w:t>
      </w:r>
      <w:r>
        <w:rPr>
          <w:rFonts w:ascii="Arial" w:hAnsi="Arial" w:cs="Arial"/>
        </w:rPr>
        <w:t xml:space="preserve"> thank you for </w:t>
      </w:r>
      <w:r w:rsidR="0039041D">
        <w:rPr>
          <w:rFonts w:ascii="Arial" w:hAnsi="Arial" w:cs="Arial"/>
        </w:rPr>
        <w:t>invi</w:t>
      </w:r>
      <w:r w:rsidR="00B052F4">
        <w:rPr>
          <w:rFonts w:ascii="Arial" w:hAnsi="Arial" w:cs="Arial"/>
        </w:rPr>
        <w:t xml:space="preserve">ting me </w:t>
      </w:r>
      <w:r w:rsidR="0039041D">
        <w:rPr>
          <w:rFonts w:ascii="Arial" w:hAnsi="Arial" w:cs="Arial"/>
        </w:rPr>
        <w:t>to join you today</w:t>
      </w:r>
      <w:r w:rsidR="00B052F4">
        <w:rPr>
          <w:rFonts w:ascii="Arial" w:hAnsi="Arial" w:cs="Arial"/>
        </w:rPr>
        <w:t>.</w:t>
      </w:r>
      <w:r w:rsidR="009368F5">
        <w:rPr>
          <w:rFonts w:ascii="Arial" w:hAnsi="Arial" w:cs="Arial"/>
        </w:rPr>
        <w:t xml:space="preserve">  </w:t>
      </w:r>
    </w:p>
    <w:p w14:paraId="3427F273" w14:textId="0ACFB2F1" w:rsidR="00356708" w:rsidRDefault="00356708" w:rsidP="0070561A">
      <w:pPr>
        <w:ind w:left="2160"/>
        <w:rPr>
          <w:rFonts w:ascii="Arial" w:hAnsi="Arial" w:cs="Arial"/>
        </w:rPr>
      </w:pPr>
      <w:r>
        <w:rPr>
          <w:rFonts w:ascii="Arial" w:hAnsi="Arial" w:cs="Arial"/>
        </w:rPr>
        <w:t xml:space="preserve">I am </w:t>
      </w:r>
      <w:proofErr w:type="spellStart"/>
      <w:r w:rsidR="00382894">
        <w:rPr>
          <w:rFonts w:ascii="Arial" w:hAnsi="Arial" w:cs="Arial"/>
        </w:rPr>
        <w:t>honoured</w:t>
      </w:r>
      <w:proofErr w:type="spellEnd"/>
      <w:r>
        <w:rPr>
          <w:rFonts w:ascii="Arial" w:hAnsi="Arial" w:cs="Arial"/>
        </w:rPr>
        <w:t xml:space="preserve"> to have the opportunity to speak with you about an important debate that affects us all: the role of asset management in financial </w:t>
      </w:r>
      <w:proofErr w:type="gramStart"/>
      <w:r>
        <w:rPr>
          <w:rFonts w:ascii="Arial" w:hAnsi="Arial" w:cs="Arial"/>
        </w:rPr>
        <w:t>stability</w:t>
      </w:r>
      <w:proofErr w:type="gramEnd"/>
      <w:r>
        <w:rPr>
          <w:rFonts w:ascii="Arial" w:hAnsi="Arial" w:cs="Arial"/>
        </w:rPr>
        <w:t>.</w:t>
      </w:r>
      <w:r w:rsidR="009368F5">
        <w:rPr>
          <w:rFonts w:ascii="Arial" w:hAnsi="Arial" w:cs="Arial"/>
        </w:rPr>
        <w:t xml:space="preserve">  </w:t>
      </w:r>
    </w:p>
    <w:p w14:paraId="32695358" w14:textId="5D107B2D" w:rsidR="00382894" w:rsidRDefault="005F43DB" w:rsidP="00382894">
      <w:pPr>
        <w:ind w:left="2160"/>
        <w:rPr>
          <w:rFonts w:ascii="Arial" w:hAnsi="Arial" w:cs="Arial"/>
        </w:rPr>
      </w:pPr>
      <w:r>
        <w:rPr>
          <w:rFonts w:ascii="Arial" w:hAnsi="Arial" w:cs="Arial"/>
        </w:rPr>
        <w:t>It seems</w:t>
      </w:r>
      <w:r w:rsidR="00382894">
        <w:rPr>
          <w:rFonts w:ascii="Arial" w:hAnsi="Arial" w:cs="Arial"/>
        </w:rPr>
        <w:t xml:space="preserve"> fitting that this dialogue is taking place in The Hague</w:t>
      </w:r>
      <w:r>
        <w:rPr>
          <w:rFonts w:ascii="Arial" w:hAnsi="Arial" w:cs="Arial"/>
        </w:rPr>
        <w:t>, given that f</w:t>
      </w:r>
      <w:r w:rsidR="00382894">
        <w:rPr>
          <w:rFonts w:ascii="Arial" w:hAnsi="Arial" w:cs="Arial"/>
        </w:rPr>
        <w:t>or more than one hundred years, international disputes have been heard and settled here.</w:t>
      </w:r>
      <w:r w:rsidR="009368F5">
        <w:rPr>
          <w:rFonts w:ascii="Arial" w:hAnsi="Arial" w:cs="Arial"/>
        </w:rPr>
        <w:t xml:space="preserve">  </w:t>
      </w:r>
    </w:p>
    <w:p w14:paraId="1377B7D1" w14:textId="6D1E2996" w:rsidR="00382894" w:rsidRDefault="005F43DB" w:rsidP="00382894">
      <w:pPr>
        <w:ind w:left="2160"/>
        <w:rPr>
          <w:rFonts w:ascii="Arial" w:hAnsi="Arial" w:cs="Arial"/>
        </w:rPr>
      </w:pPr>
      <w:r>
        <w:rPr>
          <w:rFonts w:ascii="Arial" w:hAnsi="Arial" w:cs="Arial"/>
        </w:rPr>
        <w:t>Granted, the</w:t>
      </w:r>
      <w:r w:rsidR="00382894">
        <w:rPr>
          <w:rFonts w:ascii="Arial" w:hAnsi="Arial" w:cs="Arial"/>
        </w:rPr>
        <w:t xml:space="preserve"> debate surrounding systemic risk and asset management </w:t>
      </w:r>
      <w:r w:rsidR="00722F47">
        <w:rPr>
          <w:rFonts w:ascii="Arial" w:hAnsi="Arial" w:cs="Arial"/>
        </w:rPr>
        <w:t xml:space="preserve">is not </w:t>
      </w:r>
      <w:proofErr w:type="spellStart"/>
      <w:r w:rsidR="00722F47">
        <w:rPr>
          <w:rFonts w:ascii="Arial" w:hAnsi="Arial" w:cs="Arial"/>
        </w:rPr>
        <w:t>characteris</w:t>
      </w:r>
      <w:r w:rsidR="008B488A">
        <w:rPr>
          <w:rFonts w:ascii="Arial" w:hAnsi="Arial" w:cs="Arial"/>
        </w:rPr>
        <w:t>ed</w:t>
      </w:r>
      <w:proofErr w:type="spellEnd"/>
      <w:r w:rsidR="008B488A">
        <w:rPr>
          <w:rFonts w:ascii="Arial" w:hAnsi="Arial" w:cs="Arial"/>
        </w:rPr>
        <w:t xml:space="preserve"> by </w:t>
      </w:r>
      <w:r w:rsidR="000927DF">
        <w:rPr>
          <w:rFonts w:ascii="Arial" w:hAnsi="Arial" w:cs="Arial"/>
        </w:rPr>
        <w:t xml:space="preserve">the </w:t>
      </w:r>
      <w:r w:rsidR="000927DF">
        <w:rPr>
          <w:rFonts w:ascii="Arial" w:hAnsi="Arial" w:cs="Arial"/>
        </w:rPr>
        <w:lastRenderedPageBreak/>
        <w:t>political</w:t>
      </w:r>
      <w:r w:rsidR="008B488A">
        <w:rPr>
          <w:rFonts w:ascii="Arial" w:hAnsi="Arial" w:cs="Arial"/>
        </w:rPr>
        <w:t xml:space="preserve"> and social </w:t>
      </w:r>
      <w:r w:rsidR="00D56CD8">
        <w:rPr>
          <w:rFonts w:ascii="Arial" w:hAnsi="Arial" w:cs="Arial"/>
        </w:rPr>
        <w:t xml:space="preserve">conflict that attends many of the </w:t>
      </w:r>
      <w:r w:rsidR="008B488A">
        <w:rPr>
          <w:rFonts w:ascii="Arial" w:hAnsi="Arial" w:cs="Arial"/>
        </w:rPr>
        <w:t xml:space="preserve">issues that </w:t>
      </w:r>
      <w:r w:rsidR="00752BBC">
        <w:rPr>
          <w:rFonts w:ascii="Arial" w:hAnsi="Arial" w:cs="Arial"/>
        </w:rPr>
        <w:t xml:space="preserve">are </w:t>
      </w:r>
      <w:r>
        <w:rPr>
          <w:rFonts w:ascii="Arial" w:hAnsi="Arial" w:cs="Arial"/>
        </w:rPr>
        <w:t>d</w:t>
      </w:r>
      <w:r w:rsidR="008B488A">
        <w:rPr>
          <w:rFonts w:ascii="Arial" w:hAnsi="Arial" w:cs="Arial"/>
        </w:rPr>
        <w:t>iscussed</w:t>
      </w:r>
      <w:r>
        <w:rPr>
          <w:rFonts w:ascii="Arial" w:hAnsi="Arial" w:cs="Arial"/>
        </w:rPr>
        <w:t xml:space="preserve"> and </w:t>
      </w:r>
      <w:r w:rsidR="008B488A">
        <w:rPr>
          <w:rFonts w:ascii="Arial" w:hAnsi="Arial" w:cs="Arial"/>
        </w:rPr>
        <w:t>resolved</w:t>
      </w:r>
      <w:r>
        <w:rPr>
          <w:rFonts w:ascii="Arial" w:hAnsi="Arial" w:cs="Arial"/>
        </w:rPr>
        <w:t xml:space="preserve"> here.</w:t>
      </w:r>
      <w:r w:rsidR="009368F5">
        <w:rPr>
          <w:rFonts w:ascii="Arial" w:hAnsi="Arial" w:cs="Arial"/>
        </w:rPr>
        <w:t xml:space="preserve">  </w:t>
      </w:r>
    </w:p>
    <w:p w14:paraId="2BA244EB" w14:textId="2A7FD402" w:rsidR="005F43DB" w:rsidRDefault="005F43DB" w:rsidP="00382894">
      <w:pPr>
        <w:ind w:left="2160"/>
        <w:rPr>
          <w:rFonts w:ascii="Arial" w:hAnsi="Arial" w:cs="Arial"/>
        </w:rPr>
      </w:pPr>
      <w:r>
        <w:rPr>
          <w:rFonts w:ascii="Arial" w:hAnsi="Arial" w:cs="Arial"/>
        </w:rPr>
        <w:t xml:space="preserve">Yet it has become </w:t>
      </w:r>
      <w:r w:rsidR="001E6B35">
        <w:rPr>
          <w:rFonts w:ascii="Arial" w:hAnsi="Arial" w:cs="Arial"/>
        </w:rPr>
        <w:t>a crucial</w:t>
      </w:r>
      <w:r w:rsidR="00D56CD8">
        <w:rPr>
          <w:rFonts w:ascii="Arial" w:hAnsi="Arial" w:cs="Arial"/>
        </w:rPr>
        <w:t xml:space="preserve"> debate on a global scale,</w:t>
      </w:r>
      <w:r w:rsidR="001E6B35">
        <w:rPr>
          <w:rFonts w:ascii="Arial" w:hAnsi="Arial" w:cs="Arial"/>
        </w:rPr>
        <w:t xml:space="preserve"> the outcome of which</w:t>
      </w:r>
      <w:r>
        <w:rPr>
          <w:rFonts w:ascii="Arial" w:hAnsi="Arial" w:cs="Arial"/>
        </w:rPr>
        <w:t xml:space="preserve"> could </w:t>
      </w:r>
      <w:r w:rsidR="001E6B35">
        <w:rPr>
          <w:rFonts w:ascii="Arial" w:hAnsi="Arial" w:cs="Arial"/>
        </w:rPr>
        <w:t xml:space="preserve">fundamentally change the fund industry, and </w:t>
      </w:r>
      <w:r>
        <w:rPr>
          <w:rFonts w:ascii="Arial" w:hAnsi="Arial" w:cs="Arial"/>
        </w:rPr>
        <w:t xml:space="preserve">have serious </w:t>
      </w:r>
      <w:r w:rsidR="00DD692C">
        <w:rPr>
          <w:rFonts w:ascii="Arial" w:hAnsi="Arial" w:cs="Arial"/>
        </w:rPr>
        <w:t>repercussions</w:t>
      </w:r>
      <w:r>
        <w:rPr>
          <w:rFonts w:ascii="Arial" w:hAnsi="Arial" w:cs="Arial"/>
        </w:rPr>
        <w:t xml:space="preserve"> for funds, their investors, and capital markets here and around the world. </w:t>
      </w:r>
      <w:r w:rsidR="009368F5">
        <w:rPr>
          <w:rFonts w:ascii="Arial" w:hAnsi="Arial" w:cs="Arial"/>
        </w:rPr>
        <w:t xml:space="preserve"> </w:t>
      </w:r>
    </w:p>
    <w:p w14:paraId="4A313946" w14:textId="57A17587" w:rsidR="00875D56" w:rsidRPr="00752BBC" w:rsidRDefault="00752BBC" w:rsidP="008B488A">
      <w:pPr>
        <w:ind w:left="2160"/>
        <w:rPr>
          <w:rFonts w:ascii="Arial" w:hAnsi="Arial" w:cs="Arial"/>
        </w:rPr>
      </w:pPr>
      <w:r>
        <w:rPr>
          <w:rFonts w:ascii="Arial" w:hAnsi="Arial" w:cs="Arial"/>
        </w:rPr>
        <w:t>At the heart of the debate is one central question: do funds or their m</w:t>
      </w:r>
      <w:r w:rsidR="008B488A">
        <w:rPr>
          <w:rFonts w:ascii="Arial" w:hAnsi="Arial" w:cs="Arial"/>
        </w:rPr>
        <w:t xml:space="preserve">anagers </w:t>
      </w:r>
      <w:r w:rsidR="00D56CD8">
        <w:rPr>
          <w:rFonts w:ascii="Arial" w:hAnsi="Arial" w:cs="Arial"/>
        </w:rPr>
        <w:t>threaten the stability of financial systems, nationally or globally</w:t>
      </w:r>
      <w:proofErr w:type="gramStart"/>
      <w:r w:rsidR="004C3A87">
        <w:rPr>
          <w:rFonts w:ascii="Arial" w:hAnsi="Arial" w:cs="Arial"/>
        </w:rPr>
        <w:t xml:space="preserve">?  </w:t>
      </w:r>
      <w:proofErr w:type="gramEnd"/>
      <w:r>
        <w:rPr>
          <w:rFonts w:ascii="Arial" w:hAnsi="Arial" w:cs="Arial"/>
        </w:rPr>
        <w:t xml:space="preserve">Currently, there are </w:t>
      </w:r>
      <w:r w:rsidR="00875D56">
        <w:rPr>
          <w:rFonts w:ascii="Arial" w:hAnsi="Arial" w:cs="Arial"/>
          <w:shd w:val="clear" w:color="auto" w:fill="FFFFFF"/>
        </w:rPr>
        <w:t xml:space="preserve">efforts underway at both </w:t>
      </w:r>
      <w:r w:rsidR="00D56CD8">
        <w:rPr>
          <w:rFonts w:ascii="Arial" w:hAnsi="Arial" w:cs="Arial"/>
          <w:shd w:val="clear" w:color="auto" w:fill="FFFFFF"/>
        </w:rPr>
        <w:t xml:space="preserve">those levels </w:t>
      </w:r>
      <w:r w:rsidR="00875D56">
        <w:rPr>
          <w:rFonts w:ascii="Arial" w:hAnsi="Arial" w:cs="Arial"/>
          <w:shd w:val="clear" w:color="auto" w:fill="FFFFFF"/>
        </w:rPr>
        <w:t xml:space="preserve">to </w:t>
      </w:r>
      <w:r>
        <w:rPr>
          <w:rFonts w:ascii="Arial" w:hAnsi="Arial" w:cs="Arial"/>
          <w:shd w:val="clear" w:color="auto" w:fill="FFFFFF"/>
        </w:rPr>
        <w:t>address th</w:t>
      </w:r>
      <w:r w:rsidR="00576C63">
        <w:rPr>
          <w:rFonts w:ascii="Arial" w:hAnsi="Arial" w:cs="Arial"/>
          <w:shd w:val="clear" w:color="auto" w:fill="FFFFFF"/>
        </w:rPr>
        <w:t>is</w:t>
      </w:r>
      <w:r>
        <w:rPr>
          <w:rFonts w:ascii="Arial" w:hAnsi="Arial" w:cs="Arial"/>
          <w:shd w:val="clear" w:color="auto" w:fill="FFFFFF"/>
        </w:rPr>
        <w:t xml:space="preserve"> question.</w:t>
      </w:r>
      <w:r w:rsidR="009368F5">
        <w:rPr>
          <w:rFonts w:ascii="Arial" w:hAnsi="Arial" w:cs="Arial"/>
          <w:shd w:val="clear" w:color="auto" w:fill="FFFFFF"/>
        </w:rPr>
        <w:t xml:space="preserve">  </w:t>
      </w:r>
    </w:p>
    <w:p w14:paraId="21F5AE08" w14:textId="55EA3F26" w:rsidR="007D55A8" w:rsidRDefault="00875D56" w:rsidP="007D55A8">
      <w:pPr>
        <w:ind w:left="2160"/>
        <w:rPr>
          <w:rFonts w:ascii="Arial" w:hAnsi="Arial" w:cs="Arial"/>
          <w:shd w:val="clear" w:color="auto" w:fill="FFFFFF"/>
        </w:rPr>
      </w:pPr>
      <w:r>
        <w:rPr>
          <w:rFonts w:ascii="Arial" w:hAnsi="Arial" w:cs="Arial"/>
          <w:shd w:val="clear" w:color="auto" w:fill="FFFFFF"/>
        </w:rPr>
        <w:t xml:space="preserve">Thus far, these efforts have mainly </w:t>
      </w:r>
      <w:r w:rsidR="00A7677E">
        <w:rPr>
          <w:rFonts w:ascii="Arial" w:hAnsi="Arial" w:cs="Arial"/>
          <w:shd w:val="clear" w:color="auto" w:fill="FFFFFF"/>
        </w:rPr>
        <w:t xml:space="preserve">threatened to affect large </w:t>
      </w:r>
      <w:r w:rsidR="007D55A8">
        <w:rPr>
          <w:rFonts w:ascii="Arial" w:hAnsi="Arial" w:cs="Arial"/>
          <w:shd w:val="clear" w:color="auto" w:fill="FFFFFF"/>
        </w:rPr>
        <w:t>US funds</w:t>
      </w:r>
      <w:r w:rsidR="001E6B35">
        <w:rPr>
          <w:rFonts w:ascii="Arial" w:hAnsi="Arial" w:cs="Arial"/>
          <w:shd w:val="clear" w:color="auto" w:fill="FFFFFF"/>
        </w:rPr>
        <w:t xml:space="preserve">, but </w:t>
      </w:r>
      <w:r w:rsidR="00722F47">
        <w:rPr>
          <w:rFonts w:ascii="Arial" w:hAnsi="Arial" w:cs="Arial"/>
          <w:shd w:val="clear" w:color="auto" w:fill="FFFFFF"/>
        </w:rPr>
        <w:t>it is possible th</w:t>
      </w:r>
      <w:r w:rsidR="000A771B">
        <w:rPr>
          <w:rFonts w:ascii="Arial" w:hAnsi="Arial" w:cs="Arial"/>
          <w:shd w:val="clear" w:color="auto" w:fill="FFFFFF"/>
        </w:rPr>
        <w:t>at they could eventually affect the Dutch fund industry.</w:t>
      </w:r>
      <w:r w:rsidR="009368F5">
        <w:rPr>
          <w:rFonts w:ascii="Arial" w:hAnsi="Arial" w:cs="Arial"/>
          <w:shd w:val="clear" w:color="auto" w:fill="FFFFFF"/>
        </w:rPr>
        <w:t xml:space="preserve">  </w:t>
      </w:r>
    </w:p>
    <w:p w14:paraId="1E380E26" w14:textId="1685844D" w:rsidR="002044A9" w:rsidRDefault="002044A9" w:rsidP="007D55A8">
      <w:pPr>
        <w:ind w:left="2160"/>
        <w:rPr>
          <w:rFonts w:ascii="Arial" w:hAnsi="Arial" w:cs="Arial"/>
          <w:shd w:val="clear" w:color="auto" w:fill="FFFFFF"/>
        </w:rPr>
      </w:pPr>
      <w:r>
        <w:rPr>
          <w:rFonts w:ascii="Arial" w:hAnsi="Arial" w:cs="Arial"/>
          <w:shd w:val="clear" w:color="auto" w:fill="FFFFFF"/>
        </w:rPr>
        <w:t xml:space="preserve">As of December 2014, the Netherlands had total regulated fund assets of $76 billion US dollars. </w:t>
      </w:r>
      <w:r w:rsidR="009368F5">
        <w:rPr>
          <w:rFonts w:ascii="Arial" w:hAnsi="Arial" w:cs="Arial"/>
          <w:shd w:val="clear" w:color="auto" w:fill="FFFFFF"/>
        </w:rPr>
        <w:t xml:space="preserve"> </w:t>
      </w:r>
    </w:p>
    <w:p w14:paraId="2EE64DF1" w14:textId="1B313C3E" w:rsidR="002044A9" w:rsidRDefault="002044A9" w:rsidP="002044A9">
      <w:pPr>
        <w:ind w:left="2160"/>
        <w:rPr>
          <w:rFonts w:ascii="Arial" w:hAnsi="Arial" w:cs="Arial"/>
          <w:shd w:val="clear" w:color="auto" w:fill="FFFFFF"/>
        </w:rPr>
      </w:pPr>
      <w:r>
        <w:rPr>
          <w:rFonts w:ascii="Arial" w:hAnsi="Arial" w:cs="Arial"/>
          <w:shd w:val="clear" w:color="auto" w:fill="FFFFFF"/>
        </w:rPr>
        <w:t xml:space="preserve">This is in no small part thanks to DUFAS, which supports funds and advocates on their behalf, for the benefit of investors here and worldwide. </w:t>
      </w:r>
      <w:r w:rsidR="009368F5">
        <w:rPr>
          <w:rFonts w:ascii="Arial" w:hAnsi="Arial" w:cs="Arial"/>
          <w:shd w:val="clear" w:color="auto" w:fill="FFFFFF"/>
        </w:rPr>
        <w:t xml:space="preserve"> </w:t>
      </w:r>
    </w:p>
    <w:p w14:paraId="5448F556" w14:textId="674E7162" w:rsidR="002044A9" w:rsidRDefault="00DC5BC5" w:rsidP="002044A9">
      <w:pPr>
        <w:ind w:left="2160"/>
        <w:rPr>
          <w:rFonts w:ascii="Arial" w:hAnsi="Arial" w:cs="Arial"/>
        </w:rPr>
      </w:pPr>
      <w:r>
        <w:rPr>
          <w:rFonts w:ascii="Arial" w:hAnsi="Arial" w:cs="Arial"/>
          <w:shd w:val="clear" w:color="auto" w:fill="FFFFFF"/>
        </w:rPr>
        <w:lastRenderedPageBreak/>
        <w:t>Advancing the importan</w:t>
      </w:r>
      <w:r w:rsidR="00C153CA">
        <w:rPr>
          <w:rFonts w:ascii="Arial" w:hAnsi="Arial" w:cs="Arial"/>
          <w:shd w:val="clear" w:color="auto" w:fill="FFFFFF"/>
        </w:rPr>
        <w:t xml:space="preserve">ce of fund investing is </w:t>
      </w:r>
      <w:r w:rsidR="002044A9">
        <w:rPr>
          <w:rFonts w:ascii="Arial" w:hAnsi="Arial" w:cs="Arial"/>
          <w:shd w:val="clear" w:color="auto" w:fill="FFFFFF"/>
        </w:rPr>
        <w:t xml:space="preserve">an important mission, and one that ICI Global shares. </w:t>
      </w:r>
      <w:r w:rsidR="009368F5">
        <w:rPr>
          <w:rFonts w:ascii="Arial" w:hAnsi="Arial" w:cs="Arial"/>
          <w:shd w:val="clear" w:color="auto" w:fill="FFFFFF"/>
        </w:rPr>
        <w:t xml:space="preserve"> </w:t>
      </w:r>
    </w:p>
    <w:p w14:paraId="0DF8B578" w14:textId="6A988429" w:rsidR="002044A9" w:rsidRPr="00BA57C8" w:rsidRDefault="002044A9" w:rsidP="002044A9">
      <w:pPr>
        <w:ind w:left="2160"/>
        <w:rPr>
          <w:rFonts w:ascii="Arial" w:hAnsi="Arial" w:cs="Arial"/>
        </w:rPr>
      </w:pPr>
      <w:r>
        <w:rPr>
          <w:rFonts w:ascii="Arial" w:hAnsi="Arial" w:cs="Arial"/>
        </w:rPr>
        <w:t>For those of you who are not familiar with us, ICI Global is the international arm of the Investment Company Institute, or ICI</w:t>
      </w:r>
      <w:proofErr w:type="gramStart"/>
      <w:r w:rsidR="00D85A0E">
        <w:rPr>
          <w:rFonts w:ascii="Arial" w:hAnsi="Arial" w:cs="Arial"/>
        </w:rPr>
        <w:t xml:space="preserve">.  </w:t>
      </w:r>
      <w:proofErr w:type="gramEnd"/>
      <w:r w:rsidR="00D85A0E">
        <w:rPr>
          <w:rFonts w:ascii="Arial" w:hAnsi="Arial" w:cs="Arial"/>
        </w:rPr>
        <w:t>T</w:t>
      </w:r>
      <w:r>
        <w:rPr>
          <w:rFonts w:ascii="Arial" w:hAnsi="Arial" w:cs="Arial"/>
        </w:rPr>
        <w:t xml:space="preserve">ogether we </w:t>
      </w:r>
      <w:r w:rsidRPr="00BA57C8">
        <w:rPr>
          <w:rFonts w:ascii="Arial" w:hAnsi="Arial" w:cs="Arial"/>
        </w:rPr>
        <w:t>serve a fund membership that includes regulated funds publicly offered to investors in jurisdictions worldwide, with combined assets of $19.</w:t>
      </w:r>
      <w:r>
        <w:rPr>
          <w:rFonts w:ascii="Arial" w:hAnsi="Arial" w:cs="Arial"/>
        </w:rPr>
        <w:t>4</w:t>
      </w:r>
      <w:r w:rsidRPr="00BA57C8">
        <w:rPr>
          <w:rFonts w:ascii="Arial" w:hAnsi="Arial" w:cs="Arial"/>
        </w:rPr>
        <w:t xml:space="preserve"> trillion.</w:t>
      </w:r>
      <w:r w:rsidR="009368F5">
        <w:rPr>
          <w:rFonts w:ascii="Arial" w:hAnsi="Arial" w:cs="Arial"/>
        </w:rPr>
        <w:t xml:space="preserve">  </w:t>
      </w:r>
    </w:p>
    <w:p w14:paraId="47EDD9E8" w14:textId="11ED0C64" w:rsidR="00377F9F" w:rsidRDefault="002044A9" w:rsidP="002044A9">
      <w:pPr>
        <w:ind w:left="2160"/>
        <w:rPr>
          <w:rFonts w:ascii="Arial" w:hAnsi="Arial" w:cs="Arial"/>
          <w:shd w:val="clear" w:color="auto" w:fill="FFFFFF"/>
        </w:rPr>
      </w:pPr>
      <w:r w:rsidRPr="006A3571">
        <w:rPr>
          <w:rFonts w:ascii="Arial" w:hAnsi="Arial" w:cs="Arial"/>
        </w:rPr>
        <w:t xml:space="preserve">Thus, my remarks today will be coming from the perspective of </w:t>
      </w:r>
      <w:r w:rsidRPr="006A3571">
        <w:rPr>
          <w:rFonts w:ascii="Arial" w:hAnsi="Arial" w:cs="Arial"/>
          <w:shd w:val="clear" w:color="auto" w:fill="FFFFFF"/>
        </w:rPr>
        <w:t>regulated funds</w:t>
      </w:r>
      <w:r>
        <w:rPr>
          <w:rFonts w:ascii="Arial" w:hAnsi="Arial" w:cs="Arial"/>
          <w:shd w:val="clear" w:color="auto" w:fill="FFFFFF"/>
        </w:rPr>
        <w:t xml:space="preserve">, and mainly US and EU funds, as they hold the bulk of regulated fund assets worldwide, and data for these funds are more comprehensive than those available for most other regions. </w:t>
      </w:r>
      <w:r w:rsidR="009368F5">
        <w:rPr>
          <w:rFonts w:ascii="Arial" w:hAnsi="Arial" w:cs="Arial"/>
          <w:shd w:val="clear" w:color="auto" w:fill="FFFFFF"/>
        </w:rPr>
        <w:t xml:space="preserve"> </w:t>
      </w:r>
    </w:p>
    <w:p w14:paraId="48DBF4D4" w14:textId="784CDF6E" w:rsidR="00816184" w:rsidRPr="0072757B" w:rsidRDefault="00377F9F" w:rsidP="00816184">
      <w:pPr>
        <w:ind w:left="2160"/>
        <w:rPr>
          <w:rFonts w:ascii="Arial" w:hAnsi="Arial" w:cs="Arial"/>
          <w:shd w:val="clear" w:color="auto" w:fill="FFFFFF"/>
        </w:rPr>
      </w:pPr>
      <w:r w:rsidRPr="00881015">
        <w:rPr>
          <w:rFonts w:ascii="Arial" w:hAnsi="Arial" w:cs="Arial"/>
        </w:rPr>
        <w:t>The debate surrounding asset management and systemic risk has many facets</w:t>
      </w:r>
      <w:r>
        <w:rPr>
          <w:rFonts w:ascii="Arial" w:hAnsi="Arial" w:cs="Arial"/>
        </w:rPr>
        <w:t xml:space="preserve">, but the most pressing issue for </w:t>
      </w:r>
      <w:r w:rsidRPr="00881015">
        <w:rPr>
          <w:rFonts w:ascii="Arial" w:hAnsi="Arial" w:cs="Arial"/>
          <w:shd w:val="clear" w:color="auto" w:fill="FFFFFF"/>
        </w:rPr>
        <w:t xml:space="preserve">global funds and their managers </w:t>
      </w:r>
      <w:r w:rsidR="005B361F" w:rsidRPr="0072757B">
        <w:rPr>
          <w:rFonts w:ascii="Arial" w:hAnsi="Arial" w:cs="Arial"/>
          <w:shd w:val="clear" w:color="auto" w:fill="FFFFFF"/>
        </w:rPr>
        <w:t>is the work of the</w:t>
      </w:r>
      <w:r w:rsidRPr="0072757B">
        <w:rPr>
          <w:rFonts w:ascii="Arial" w:hAnsi="Arial" w:cs="Arial"/>
          <w:shd w:val="clear" w:color="auto" w:fill="FFFFFF"/>
        </w:rPr>
        <w:t xml:space="preserve"> Fi</w:t>
      </w:r>
      <w:r w:rsidR="005B361F" w:rsidRPr="0072757B">
        <w:rPr>
          <w:rFonts w:ascii="Arial" w:hAnsi="Arial" w:cs="Arial"/>
          <w:shd w:val="clear" w:color="auto" w:fill="FFFFFF"/>
        </w:rPr>
        <w:t xml:space="preserve">nancial Stability Board, or FSB — specifically </w:t>
      </w:r>
      <w:r w:rsidR="0013650F">
        <w:rPr>
          <w:rFonts w:ascii="Arial" w:hAnsi="Arial" w:cs="Arial"/>
          <w:shd w:val="clear" w:color="auto" w:fill="FFFFFF"/>
        </w:rPr>
        <w:t>its</w:t>
      </w:r>
      <w:r w:rsidR="005B361F" w:rsidRPr="0072757B">
        <w:rPr>
          <w:rFonts w:ascii="Arial" w:hAnsi="Arial" w:cs="Arial"/>
          <w:shd w:val="clear" w:color="auto" w:fill="FFFFFF"/>
        </w:rPr>
        <w:t xml:space="preserve"> work on designing a methodology for identifying</w:t>
      </w:r>
      <w:r w:rsidR="000A771B">
        <w:rPr>
          <w:rFonts w:ascii="Arial" w:hAnsi="Arial" w:cs="Arial"/>
          <w:shd w:val="clear" w:color="auto" w:fill="FFFFFF"/>
        </w:rPr>
        <w:t xml:space="preserve"> and designating</w:t>
      </w:r>
      <w:r w:rsidR="005B361F" w:rsidRPr="0072757B">
        <w:rPr>
          <w:rFonts w:ascii="Arial" w:hAnsi="Arial" w:cs="Arial"/>
          <w:shd w:val="clear" w:color="auto" w:fill="FFFFFF"/>
        </w:rPr>
        <w:t xml:space="preserve"> global </w:t>
      </w:r>
      <w:r w:rsidR="005B361F" w:rsidRPr="0072757B">
        <w:rPr>
          <w:rFonts w:ascii="Arial" w:hAnsi="Arial" w:cs="Arial"/>
          <w:shd w:val="clear" w:color="auto" w:fill="FFFFFF"/>
        </w:rPr>
        <w:lastRenderedPageBreak/>
        <w:t xml:space="preserve">systemically important financial institutions, or </w:t>
      </w:r>
      <w:r w:rsidR="00DE5FEC">
        <w:rPr>
          <w:rFonts w:ascii="Arial" w:hAnsi="Arial" w:cs="Arial"/>
          <w:shd w:val="clear" w:color="auto" w:fill="FFFFFF"/>
        </w:rPr>
        <w:t>G-</w:t>
      </w:r>
      <w:r w:rsidR="0072757B" w:rsidRPr="0072757B">
        <w:rPr>
          <w:rFonts w:ascii="Arial" w:hAnsi="Arial" w:cs="Arial"/>
          <w:shd w:val="clear" w:color="auto" w:fill="FFFFFF"/>
        </w:rPr>
        <w:t>SIFIs.</w:t>
      </w:r>
      <w:r w:rsidR="005B361F" w:rsidRPr="0072757B">
        <w:rPr>
          <w:rFonts w:ascii="Arial" w:hAnsi="Arial" w:cs="Arial"/>
          <w:shd w:val="clear" w:color="auto" w:fill="FFFFFF"/>
        </w:rPr>
        <w:t xml:space="preserve"> </w:t>
      </w:r>
    </w:p>
    <w:p w14:paraId="5891347F" w14:textId="54891501" w:rsidR="0072757B" w:rsidRPr="0072757B" w:rsidRDefault="00816184" w:rsidP="0072757B">
      <w:pPr>
        <w:ind w:left="2160"/>
        <w:rPr>
          <w:rFonts w:ascii="Arial" w:hAnsi="Arial" w:cs="Arial"/>
        </w:rPr>
      </w:pPr>
      <w:r w:rsidRPr="0072757B">
        <w:rPr>
          <w:rFonts w:ascii="Arial" w:hAnsi="Arial" w:cs="Arial"/>
        </w:rPr>
        <w:t>What is a SIFI</w:t>
      </w:r>
      <w:proofErr w:type="gramStart"/>
      <w:r w:rsidRPr="0072757B">
        <w:rPr>
          <w:rFonts w:ascii="Arial" w:hAnsi="Arial" w:cs="Arial"/>
        </w:rPr>
        <w:t>?</w:t>
      </w:r>
      <w:r w:rsidR="009368F5">
        <w:rPr>
          <w:rFonts w:ascii="Arial" w:hAnsi="Arial" w:cs="Arial"/>
        </w:rPr>
        <w:t xml:space="preserve">  </w:t>
      </w:r>
      <w:proofErr w:type="gramEnd"/>
      <w:r w:rsidRPr="0072757B">
        <w:rPr>
          <w:rFonts w:ascii="Arial" w:hAnsi="Arial" w:cs="Arial"/>
        </w:rPr>
        <w:t>It is an institution whose distress or disorderly failure could place at risk the stability of the financial system as a whole</w:t>
      </w:r>
      <w:proofErr w:type="gramStart"/>
      <w:r w:rsidRPr="0072757B">
        <w:rPr>
          <w:rFonts w:ascii="Arial" w:hAnsi="Arial" w:cs="Arial"/>
        </w:rPr>
        <w:t>.</w:t>
      </w:r>
      <w:r w:rsidR="009368F5">
        <w:rPr>
          <w:rFonts w:ascii="Arial" w:hAnsi="Arial" w:cs="Arial"/>
        </w:rPr>
        <w:t xml:space="preserve">  </w:t>
      </w:r>
      <w:proofErr w:type="gramEnd"/>
      <w:r w:rsidRPr="0072757B">
        <w:rPr>
          <w:rFonts w:ascii="Arial" w:hAnsi="Arial" w:cs="Arial"/>
        </w:rPr>
        <w:t>It is, in short, an institution that may occasion “systemic risk”—and thus must be subjected to heightened regulation and oversight.</w:t>
      </w:r>
      <w:r w:rsidR="009368F5">
        <w:rPr>
          <w:rFonts w:ascii="Arial" w:hAnsi="Arial" w:cs="Arial"/>
        </w:rPr>
        <w:t xml:space="preserve">  </w:t>
      </w:r>
    </w:p>
    <w:p w14:paraId="7F6B10B6" w14:textId="6C167664" w:rsidR="00816184" w:rsidRPr="0072757B" w:rsidRDefault="00816184" w:rsidP="0072757B">
      <w:pPr>
        <w:ind w:left="2160"/>
        <w:rPr>
          <w:rFonts w:ascii="Arial" w:hAnsi="Arial" w:cs="Arial"/>
        </w:rPr>
      </w:pPr>
      <w:r w:rsidRPr="0072757B">
        <w:rPr>
          <w:rFonts w:ascii="Arial" w:hAnsi="Arial" w:cs="Arial"/>
        </w:rPr>
        <w:t>But what is “systemic risk”</w:t>
      </w:r>
      <w:proofErr w:type="gramStart"/>
      <w:r w:rsidRPr="0072757B">
        <w:rPr>
          <w:rFonts w:ascii="Arial" w:hAnsi="Arial" w:cs="Arial"/>
        </w:rPr>
        <w:t>?</w:t>
      </w:r>
      <w:r w:rsidR="009368F5">
        <w:rPr>
          <w:rFonts w:ascii="Arial" w:hAnsi="Arial" w:cs="Arial"/>
        </w:rPr>
        <w:t xml:space="preserve">  </w:t>
      </w:r>
      <w:proofErr w:type="gramEnd"/>
      <w:r w:rsidRPr="0072757B">
        <w:rPr>
          <w:rFonts w:ascii="Arial" w:hAnsi="Arial" w:cs="Arial"/>
        </w:rPr>
        <w:t>Given all the attention that policymakers have focused on stopping it, you might expect the term to be well understood</w:t>
      </w:r>
      <w:proofErr w:type="gramStart"/>
      <w:r w:rsidRPr="0072757B">
        <w:rPr>
          <w:rFonts w:ascii="Arial" w:hAnsi="Arial" w:cs="Arial"/>
        </w:rPr>
        <w:t>.</w:t>
      </w:r>
      <w:r w:rsidR="009368F5">
        <w:rPr>
          <w:rFonts w:ascii="Arial" w:hAnsi="Arial" w:cs="Arial"/>
        </w:rPr>
        <w:t xml:space="preserve"> </w:t>
      </w:r>
      <w:r w:rsidR="00D949CD">
        <w:rPr>
          <w:rFonts w:ascii="Arial" w:hAnsi="Arial" w:cs="Arial"/>
        </w:rPr>
        <w:t xml:space="preserve"> </w:t>
      </w:r>
      <w:proofErr w:type="gramEnd"/>
      <w:r w:rsidRPr="0072757B">
        <w:rPr>
          <w:rFonts w:ascii="Arial" w:hAnsi="Arial" w:cs="Arial"/>
        </w:rPr>
        <w:t xml:space="preserve">In fact, </w:t>
      </w:r>
      <w:r w:rsidR="000A771B">
        <w:rPr>
          <w:rFonts w:ascii="Arial" w:hAnsi="Arial" w:cs="Arial"/>
        </w:rPr>
        <w:t>it is</w:t>
      </w:r>
      <w:r w:rsidRPr="0072757B">
        <w:rPr>
          <w:rFonts w:ascii="Arial" w:hAnsi="Arial" w:cs="Arial"/>
        </w:rPr>
        <w:t xml:space="preserve"> not</w:t>
      </w:r>
      <w:proofErr w:type="gramStart"/>
      <w:r w:rsidRPr="0072757B">
        <w:rPr>
          <w:rFonts w:ascii="Arial" w:hAnsi="Arial" w:cs="Arial"/>
        </w:rPr>
        <w:t>.</w:t>
      </w:r>
      <w:r w:rsidR="009368F5">
        <w:rPr>
          <w:rFonts w:ascii="Arial" w:hAnsi="Arial" w:cs="Arial"/>
        </w:rPr>
        <w:t xml:space="preserve">  </w:t>
      </w:r>
      <w:proofErr w:type="gramEnd"/>
      <w:r w:rsidRPr="0072757B">
        <w:rPr>
          <w:rFonts w:ascii="Arial" w:hAnsi="Arial" w:cs="Arial"/>
        </w:rPr>
        <w:t>A report from a bipartisan think tank in Washington</w:t>
      </w:r>
      <w:r w:rsidR="0072757B" w:rsidRPr="0072757B">
        <w:rPr>
          <w:rFonts w:ascii="Arial" w:hAnsi="Arial" w:cs="Arial"/>
        </w:rPr>
        <w:t>, DC</w:t>
      </w:r>
      <w:r w:rsidRPr="0072757B">
        <w:rPr>
          <w:rFonts w:ascii="Arial" w:hAnsi="Arial" w:cs="Arial"/>
        </w:rPr>
        <w:t xml:space="preserve"> offered not </w:t>
      </w:r>
      <w:proofErr w:type="gramStart"/>
      <w:r w:rsidRPr="0072757B">
        <w:rPr>
          <w:rFonts w:ascii="Arial" w:hAnsi="Arial" w:cs="Arial"/>
        </w:rPr>
        <w:t>one</w:t>
      </w:r>
      <w:proofErr w:type="gramEnd"/>
      <w:r w:rsidRPr="0072757B">
        <w:rPr>
          <w:rFonts w:ascii="Arial" w:hAnsi="Arial" w:cs="Arial"/>
        </w:rPr>
        <w:t xml:space="preserve"> definition, but 10</w:t>
      </w:r>
      <w:r w:rsidR="008B02C1">
        <w:rPr>
          <w:rFonts w:ascii="Arial" w:hAnsi="Arial" w:cs="Arial"/>
        </w:rPr>
        <w:t xml:space="preserve"> </w:t>
      </w:r>
      <w:r w:rsidRPr="0072757B">
        <w:rPr>
          <w:rFonts w:ascii="Arial" w:hAnsi="Arial" w:cs="Arial"/>
        </w:rPr>
        <w:t>—</w:t>
      </w:r>
      <w:r w:rsidR="008B02C1">
        <w:rPr>
          <w:rFonts w:ascii="Arial" w:hAnsi="Arial" w:cs="Arial"/>
        </w:rPr>
        <w:t xml:space="preserve"> </w:t>
      </w:r>
      <w:r w:rsidRPr="0072757B">
        <w:rPr>
          <w:rFonts w:ascii="Arial" w:hAnsi="Arial" w:cs="Arial"/>
        </w:rPr>
        <w:t>each different from the other in some significant way.</w:t>
      </w:r>
      <w:r w:rsidR="009368F5">
        <w:rPr>
          <w:rFonts w:ascii="Arial" w:hAnsi="Arial" w:cs="Arial"/>
        </w:rPr>
        <w:t xml:space="preserve">  </w:t>
      </w:r>
    </w:p>
    <w:p w14:paraId="52F64191" w14:textId="5B5AD951" w:rsidR="008B02C1" w:rsidRPr="0013650F" w:rsidRDefault="008B02C1" w:rsidP="008B02C1">
      <w:pPr>
        <w:ind w:left="2160"/>
        <w:rPr>
          <w:rFonts w:ascii="Arial" w:hAnsi="Arial" w:cs="Arial"/>
        </w:rPr>
      </w:pPr>
      <w:r w:rsidRPr="008B02C1">
        <w:rPr>
          <w:rFonts w:ascii="Arial" w:eastAsia="Times New Roman" w:hAnsi="Arial" w:cs="Arial"/>
        </w:rPr>
        <w:t>Here</w:t>
      </w:r>
      <w:r w:rsidR="000A771B">
        <w:rPr>
          <w:rFonts w:ascii="Arial" w:eastAsia="Times New Roman" w:hAnsi="Arial" w:cs="Arial"/>
        </w:rPr>
        <w:t xml:space="preserve"> is a definition that did not</w:t>
      </w:r>
      <w:r w:rsidRPr="008B02C1">
        <w:rPr>
          <w:rFonts w:ascii="Arial" w:eastAsia="Times New Roman" w:hAnsi="Arial" w:cs="Arial"/>
        </w:rPr>
        <w:t xml:space="preserve"> make that list: one economist says that systemic risk seems to be a “grab bag of scenarios,” however improbable they may be, </w:t>
      </w:r>
      <w:r w:rsidR="00576C63">
        <w:rPr>
          <w:rFonts w:ascii="Arial" w:eastAsia="Times New Roman" w:hAnsi="Arial" w:cs="Arial"/>
        </w:rPr>
        <w:t xml:space="preserve">“that are supposed to </w:t>
      </w:r>
      <w:proofErr w:type="spellStart"/>
      <w:r w:rsidR="00576C63">
        <w:rPr>
          <w:rFonts w:ascii="Arial" w:eastAsia="Times New Roman" w:hAnsi="Arial" w:cs="Arial"/>
        </w:rPr>
        <w:t>rationalis</w:t>
      </w:r>
      <w:r w:rsidRPr="008B02C1">
        <w:rPr>
          <w:rFonts w:ascii="Arial" w:eastAsia="Times New Roman" w:hAnsi="Arial" w:cs="Arial"/>
        </w:rPr>
        <w:t>e</w:t>
      </w:r>
      <w:proofErr w:type="spellEnd"/>
      <w:r w:rsidRPr="008B02C1">
        <w:rPr>
          <w:rFonts w:ascii="Arial" w:eastAsia="Times New Roman" w:hAnsi="Arial" w:cs="Arial"/>
        </w:rPr>
        <w:t>” more and more intervention by banking regulators in capital markets.</w:t>
      </w:r>
      <w:r w:rsidR="00EB3200">
        <w:rPr>
          <w:rFonts w:ascii="Arial" w:eastAsia="Times New Roman" w:hAnsi="Arial" w:cs="Arial"/>
        </w:rPr>
        <w:t xml:space="preserve">  </w:t>
      </w:r>
    </w:p>
    <w:p w14:paraId="790F94AC" w14:textId="474FD0C4" w:rsidR="008B02C1" w:rsidRPr="0013650F" w:rsidRDefault="008B02C1" w:rsidP="008B02C1">
      <w:pPr>
        <w:ind w:left="2160"/>
        <w:rPr>
          <w:rFonts w:ascii="Arial" w:eastAsia="Times New Roman" w:hAnsi="Arial" w:cs="Arial"/>
        </w:rPr>
      </w:pPr>
      <w:r w:rsidRPr="008B02C1">
        <w:rPr>
          <w:rFonts w:ascii="Arial" w:eastAsia="Times New Roman" w:hAnsi="Arial" w:cs="Arial"/>
        </w:rPr>
        <w:lastRenderedPageBreak/>
        <w:t>No matter what the definition</w:t>
      </w:r>
      <w:r w:rsidR="00981B97">
        <w:rPr>
          <w:rFonts w:ascii="Arial" w:eastAsia="Times New Roman" w:hAnsi="Arial" w:cs="Arial"/>
        </w:rPr>
        <w:t xml:space="preserve">, </w:t>
      </w:r>
      <w:r w:rsidR="0013650F">
        <w:rPr>
          <w:rFonts w:ascii="Arial" w:eastAsia="Times New Roman" w:hAnsi="Arial" w:cs="Arial"/>
        </w:rPr>
        <w:t>ICI and ICI Global</w:t>
      </w:r>
      <w:r w:rsidRPr="008B02C1">
        <w:rPr>
          <w:rFonts w:ascii="Arial" w:eastAsia="Times New Roman" w:hAnsi="Arial" w:cs="Arial"/>
        </w:rPr>
        <w:t xml:space="preserve"> are vigorously opposing this notion that </w:t>
      </w:r>
      <w:r w:rsidR="0013650F">
        <w:rPr>
          <w:rFonts w:ascii="Arial" w:eastAsia="Times New Roman" w:hAnsi="Arial" w:cs="Arial"/>
        </w:rPr>
        <w:t xml:space="preserve">regulated </w:t>
      </w:r>
      <w:r w:rsidRPr="008B02C1">
        <w:rPr>
          <w:rFonts w:ascii="Arial" w:eastAsia="Times New Roman" w:hAnsi="Arial" w:cs="Arial"/>
        </w:rPr>
        <w:t>funds or managers should be subject to SIFI designation</w:t>
      </w:r>
      <w:r w:rsidR="0013650F">
        <w:rPr>
          <w:rFonts w:ascii="Arial" w:eastAsia="Times New Roman" w:hAnsi="Arial" w:cs="Arial"/>
        </w:rPr>
        <w:t>.</w:t>
      </w:r>
      <w:r w:rsidR="00EB3200">
        <w:rPr>
          <w:rFonts w:ascii="Arial" w:eastAsia="Times New Roman" w:hAnsi="Arial" w:cs="Arial"/>
        </w:rPr>
        <w:t xml:space="preserve">  </w:t>
      </w:r>
    </w:p>
    <w:p w14:paraId="588EBB8A" w14:textId="5C08CEF6" w:rsidR="008B02C1" w:rsidRPr="0013650F" w:rsidRDefault="00816184" w:rsidP="008B02C1">
      <w:pPr>
        <w:ind w:left="2160"/>
        <w:rPr>
          <w:rFonts w:ascii="Arial" w:hAnsi="Arial" w:cs="Arial"/>
        </w:rPr>
      </w:pPr>
      <w:r w:rsidRPr="0013650F">
        <w:rPr>
          <w:rFonts w:ascii="Arial" w:hAnsi="Arial" w:cs="Arial"/>
        </w:rPr>
        <w:t>Before I get into the details of our case, let me make two overarching points.</w:t>
      </w:r>
      <w:r w:rsidR="00EB3200">
        <w:rPr>
          <w:rFonts w:ascii="Arial" w:hAnsi="Arial" w:cs="Arial"/>
        </w:rPr>
        <w:t xml:space="preserve">  </w:t>
      </w:r>
    </w:p>
    <w:p w14:paraId="745DF31C" w14:textId="3C0780D6" w:rsidR="008B02C1" w:rsidRPr="0013650F" w:rsidRDefault="00816184" w:rsidP="008B02C1">
      <w:pPr>
        <w:ind w:left="2160"/>
        <w:rPr>
          <w:rFonts w:ascii="Arial" w:hAnsi="Arial" w:cs="Arial"/>
        </w:rPr>
      </w:pPr>
      <w:r w:rsidRPr="0013650F">
        <w:rPr>
          <w:rFonts w:ascii="Arial" w:hAnsi="Arial" w:cs="Arial"/>
        </w:rPr>
        <w:t>First, this is not a debate about “regulation” versus “no regulation.</w:t>
      </w:r>
      <w:proofErr w:type="gramStart"/>
      <w:r w:rsidRPr="0013650F">
        <w:rPr>
          <w:rFonts w:ascii="Arial" w:hAnsi="Arial" w:cs="Arial"/>
        </w:rPr>
        <w:t>”</w:t>
      </w:r>
      <w:r w:rsidR="009368F5">
        <w:rPr>
          <w:rFonts w:ascii="Arial" w:hAnsi="Arial" w:cs="Arial"/>
        </w:rPr>
        <w:t xml:space="preserve"> </w:t>
      </w:r>
      <w:r w:rsidR="00EB3200">
        <w:rPr>
          <w:rFonts w:ascii="Arial" w:hAnsi="Arial" w:cs="Arial"/>
        </w:rPr>
        <w:t xml:space="preserve"> </w:t>
      </w:r>
      <w:proofErr w:type="gramEnd"/>
      <w:r w:rsidRPr="0013650F">
        <w:rPr>
          <w:rFonts w:ascii="Arial" w:hAnsi="Arial" w:cs="Arial"/>
        </w:rPr>
        <w:t>The fund sector around the world has thrived under sound regulation that addresses risks to investors and the capital markets</w:t>
      </w:r>
      <w:proofErr w:type="gramStart"/>
      <w:r w:rsidRPr="0013650F">
        <w:rPr>
          <w:rFonts w:ascii="Arial" w:hAnsi="Arial" w:cs="Arial"/>
        </w:rPr>
        <w:t>.</w:t>
      </w:r>
      <w:r w:rsidR="009368F5">
        <w:rPr>
          <w:rFonts w:ascii="Arial" w:hAnsi="Arial" w:cs="Arial"/>
        </w:rPr>
        <w:t xml:space="preserve"> </w:t>
      </w:r>
      <w:r w:rsidR="00EB3200">
        <w:rPr>
          <w:rFonts w:ascii="Arial" w:hAnsi="Arial" w:cs="Arial"/>
        </w:rPr>
        <w:t xml:space="preserve"> </w:t>
      </w:r>
      <w:proofErr w:type="gramEnd"/>
      <w:r w:rsidRPr="0013650F">
        <w:rPr>
          <w:rFonts w:ascii="Arial" w:hAnsi="Arial" w:cs="Arial"/>
        </w:rPr>
        <w:t xml:space="preserve">In particular, </w:t>
      </w:r>
      <w:r w:rsidR="008B02C1" w:rsidRPr="0013650F">
        <w:rPr>
          <w:rFonts w:ascii="Arial" w:hAnsi="Arial" w:cs="Arial"/>
        </w:rPr>
        <w:t xml:space="preserve">ICI and ICI Global </w:t>
      </w:r>
      <w:r w:rsidRPr="0013650F">
        <w:rPr>
          <w:rFonts w:ascii="Arial" w:hAnsi="Arial" w:cs="Arial"/>
        </w:rPr>
        <w:t>have supported efforts to address abuses and close regulatory gaps exposed by the global financial crisis.</w:t>
      </w:r>
      <w:r w:rsidR="00EB3200">
        <w:rPr>
          <w:rFonts w:ascii="Arial" w:hAnsi="Arial" w:cs="Arial"/>
        </w:rPr>
        <w:t xml:space="preserve">  </w:t>
      </w:r>
    </w:p>
    <w:p w14:paraId="7484B9CA" w14:textId="06E653D5" w:rsidR="008B02C1" w:rsidRPr="0013650F" w:rsidRDefault="00816184" w:rsidP="008B02C1">
      <w:pPr>
        <w:ind w:left="2160"/>
        <w:rPr>
          <w:rFonts w:ascii="Arial" w:hAnsi="Arial" w:cs="Arial"/>
        </w:rPr>
      </w:pPr>
      <w:r w:rsidRPr="0013650F">
        <w:rPr>
          <w:rFonts w:ascii="Arial" w:hAnsi="Arial" w:cs="Arial"/>
        </w:rPr>
        <w:t>This is instead a debate over where and how risks to the financial system at large may occur</w:t>
      </w:r>
      <w:r w:rsidR="0013650F">
        <w:rPr>
          <w:rFonts w:ascii="Arial" w:hAnsi="Arial" w:cs="Arial"/>
        </w:rPr>
        <w:t xml:space="preserve"> </w:t>
      </w:r>
      <w:r w:rsidRPr="0013650F">
        <w:rPr>
          <w:rFonts w:ascii="Arial" w:hAnsi="Arial" w:cs="Arial"/>
        </w:rPr>
        <w:t>—</w:t>
      </w:r>
      <w:r w:rsidR="0013650F">
        <w:rPr>
          <w:rFonts w:ascii="Arial" w:hAnsi="Arial" w:cs="Arial"/>
        </w:rPr>
        <w:t xml:space="preserve"> </w:t>
      </w:r>
      <w:r w:rsidRPr="0013650F">
        <w:rPr>
          <w:rFonts w:ascii="Arial" w:hAnsi="Arial" w:cs="Arial"/>
        </w:rPr>
        <w:t>and what the most effective tools are to address such risks, out of the many tools that regulators have at hand.</w:t>
      </w:r>
      <w:r w:rsidR="00EB3200">
        <w:rPr>
          <w:rFonts w:ascii="Arial" w:hAnsi="Arial" w:cs="Arial"/>
        </w:rPr>
        <w:t xml:space="preserve">  </w:t>
      </w:r>
    </w:p>
    <w:p w14:paraId="6FE7FD01" w14:textId="7409BF14" w:rsidR="008B02C1" w:rsidRPr="0013650F" w:rsidRDefault="00816184" w:rsidP="008B02C1">
      <w:pPr>
        <w:ind w:left="2160"/>
        <w:rPr>
          <w:rFonts w:ascii="Arial" w:hAnsi="Arial" w:cs="Arial"/>
        </w:rPr>
      </w:pPr>
      <w:r w:rsidRPr="0013650F">
        <w:rPr>
          <w:rFonts w:ascii="Arial" w:hAnsi="Arial" w:cs="Arial"/>
        </w:rPr>
        <w:t>My second point is that the stakes in this debate are high</w:t>
      </w:r>
      <w:r w:rsidR="0013650F">
        <w:rPr>
          <w:rFonts w:ascii="Arial" w:hAnsi="Arial" w:cs="Arial"/>
        </w:rPr>
        <w:t xml:space="preserve"> </w:t>
      </w:r>
      <w:r w:rsidRPr="0013650F">
        <w:rPr>
          <w:rFonts w:ascii="Arial" w:hAnsi="Arial" w:cs="Arial"/>
        </w:rPr>
        <w:t>—</w:t>
      </w:r>
      <w:r w:rsidR="0013650F">
        <w:rPr>
          <w:rFonts w:ascii="Arial" w:hAnsi="Arial" w:cs="Arial"/>
        </w:rPr>
        <w:t xml:space="preserve"> </w:t>
      </w:r>
      <w:r w:rsidRPr="0013650F">
        <w:rPr>
          <w:rFonts w:ascii="Arial" w:hAnsi="Arial" w:cs="Arial"/>
        </w:rPr>
        <w:t>for our investors, for our funds, and for our economies.</w:t>
      </w:r>
    </w:p>
    <w:p w14:paraId="75D63A84" w14:textId="0F096D3D" w:rsidR="00816184" w:rsidRDefault="00816184" w:rsidP="008B02C1">
      <w:pPr>
        <w:ind w:left="2160"/>
        <w:rPr>
          <w:rFonts w:ascii="Arial" w:hAnsi="Arial" w:cs="Arial"/>
        </w:rPr>
      </w:pPr>
      <w:r w:rsidRPr="0013650F">
        <w:rPr>
          <w:rFonts w:ascii="Arial" w:hAnsi="Arial" w:cs="Arial"/>
        </w:rPr>
        <w:lastRenderedPageBreak/>
        <w:t>Designation of regulated funds could</w:t>
      </w:r>
      <w:r w:rsidR="00EB3200">
        <w:rPr>
          <w:rFonts w:ascii="Arial" w:hAnsi="Arial" w:cs="Arial"/>
        </w:rPr>
        <w:t xml:space="preserve"> </w:t>
      </w:r>
      <w:r w:rsidRPr="0013650F">
        <w:rPr>
          <w:rFonts w:ascii="Arial" w:hAnsi="Arial" w:cs="Arial"/>
        </w:rPr>
        <w:t>raise costs for investors, distort the marketplace for funds, and damage one of the best mechanisms for saving for retirement, financing business development, and stimulating economic growth.</w:t>
      </w:r>
      <w:r w:rsidR="00EB3200">
        <w:rPr>
          <w:rFonts w:ascii="Arial" w:hAnsi="Arial" w:cs="Arial"/>
        </w:rPr>
        <w:t xml:space="preserve">  </w:t>
      </w:r>
    </w:p>
    <w:p w14:paraId="4A95FFAD" w14:textId="35BA12E0" w:rsidR="00DC5889" w:rsidRDefault="00DC5889" w:rsidP="008B02C1">
      <w:pPr>
        <w:ind w:left="2160"/>
        <w:rPr>
          <w:rFonts w:ascii="Arial" w:hAnsi="Arial" w:cs="Arial"/>
          <w:shd w:val="clear" w:color="auto" w:fill="FFFFFF"/>
        </w:rPr>
      </w:pPr>
      <w:r w:rsidRPr="00293E30">
        <w:rPr>
          <w:rFonts w:ascii="Arial" w:hAnsi="Arial" w:cs="Arial"/>
        </w:rPr>
        <w:t xml:space="preserve">ICI and ICI Global have </w:t>
      </w:r>
      <w:r w:rsidR="00293E30" w:rsidRPr="00293E30">
        <w:rPr>
          <w:rFonts w:ascii="Arial" w:hAnsi="Arial" w:cs="Arial"/>
          <w:shd w:val="clear" w:color="auto" w:fill="FFFFFF"/>
        </w:rPr>
        <w:t>worked hard to assemble a</w:t>
      </w:r>
      <w:r w:rsidR="00EB3200">
        <w:rPr>
          <w:rFonts w:ascii="Arial" w:hAnsi="Arial" w:cs="Arial"/>
          <w:shd w:val="clear" w:color="auto" w:fill="FFFFFF"/>
        </w:rPr>
        <w:t xml:space="preserve"> </w:t>
      </w:r>
      <w:r w:rsidR="00293E30" w:rsidRPr="00293E30">
        <w:rPr>
          <w:rFonts w:ascii="Arial" w:hAnsi="Arial" w:cs="Arial"/>
          <w:shd w:val="clear" w:color="auto" w:fill="FFFFFF"/>
        </w:rPr>
        <w:t xml:space="preserve">large, growing body of hard data and analysis, and to educate </w:t>
      </w:r>
      <w:r w:rsidR="00293E30">
        <w:rPr>
          <w:rFonts w:ascii="Arial" w:hAnsi="Arial" w:cs="Arial"/>
          <w:shd w:val="clear" w:color="auto" w:fill="FFFFFF"/>
        </w:rPr>
        <w:t xml:space="preserve">the FSB and </w:t>
      </w:r>
      <w:r w:rsidR="00293E30" w:rsidRPr="00293E30">
        <w:rPr>
          <w:rFonts w:ascii="Arial" w:hAnsi="Arial" w:cs="Arial"/>
          <w:shd w:val="clear" w:color="auto" w:fill="FFFFFF"/>
        </w:rPr>
        <w:t>policymakers around the world, about the structure and experience of regulated funds, why they should not be designated</w:t>
      </w:r>
      <w:r w:rsidR="00293E30">
        <w:rPr>
          <w:rFonts w:ascii="Arial" w:hAnsi="Arial" w:cs="Arial"/>
          <w:shd w:val="clear" w:color="auto" w:fill="FFFFFF"/>
        </w:rPr>
        <w:t xml:space="preserve"> as SIFIs, and </w:t>
      </w:r>
      <w:r w:rsidR="00DE5FEC">
        <w:rPr>
          <w:rFonts w:ascii="Arial" w:hAnsi="Arial" w:cs="Arial"/>
          <w:shd w:val="clear" w:color="auto" w:fill="FFFFFF"/>
        </w:rPr>
        <w:t>the harmful effects of designation on investors and the economy</w:t>
      </w:r>
      <w:r w:rsidR="00293E30" w:rsidRPr="00293E30">
        <w:rPr>
          <w:rFonts w:ascii="Arial" w:hAnsi="Arial" w:cs="Arial"/>
          <w:shd w:val="clear" w:color="auto" w:fill="FFFFFF"/>
        </w:rPr>
        <w:t>.</w:t>
      </w:r>
      <w:r w:rsidR="009368F5">
        <w:rPr>
          <w:rFonts w:ascii="Arial" w:hAnsi="Arial" w:cs="Arial"/>
          <w:shd w:val="clear" w:color="auto" w:fill="FFFFFF"/>
        </w:rPr>
        <w:t xml:space="preserve"> </w:t>
      </w:r>
      <w:r w:rsidR="00EB3200">
        <w:rPr>
          <w:rFonts w:ascii="Arial" w:hAnsi="Arial" w:cs="Arial"/>
          <w:shd w:val="clear" w:color="auto" w:fill="FFFFFF"/>
        </w:rPr>
        <w:t xml:space="preserve"> </w:t>
      </w:r>
    </w:p>
    <w:p w14:paraId="60153693" w14:textId="4760B1F0" w:rsidR="00293E30" w:rsidRDefault="00293E30" w:rsidP="008B02C1">
      <w:pPr>
        <w:ind w:left="2160"/>
        <w:rPr>
          <w:rFonts w:ascii="Arial" w:hAnsi="Arial" w:cs="Arial"/>
          <w:shd w:val="clear" w:color="auto" w:fill="FFFFFF"/>
        </w:rPr>
      </w:pPr>
      <w:r>
        <w:rPr>
          <w:rFonts w:ascii="Arial" w:hAnsi="Arial" w:cs="Arial"/>
          <w:shd w:val="clear" w:color="auto" w:fill="FFFFFF"/>
        </w:rPr>
        <w:t xml:space="preserve">Unfortunately, the FSB </w:t>
      </w:r>
      <w:r w:rsidR="00947514">
        <w:rPr>
          <w:rFonts w:ascii="Arial" w:hAnsi="Arial" w:cs="Arial"/>
          <w:shd w:val="clear" w:color="auto" w:fill="FFFFFF"/>
        </w:rPr>
        <w:t>continues to ignore the extensive record of empirical and historical evidence place</w:t>
      </w:r>
      <w:r w:rsidR="00DE5FEC">
        <w:rPr>
          <w:rFonts w:ascii="Arial" w:hAnsi="Arial" w:cs="Arial"/>
          <w:shd w:val="clear" w:color="auto" w:fill="FFFFFF"/>
        </w:rPr>
        <w:t xml:space="preserve">d before it, as </w:t>
      </w:r>
      <w:r w:rsidR="000A771B">
        <w:rPr>
          <w:rFonts w:ascii="Arial" w:hAnsi="Arial" w:cs="Arial"/>
          <w:shd w:val="clear" w:color="auto" w:fill="FFFFFF"/>
        </w:rPr>
        <w:t>demonstrated by</w:t>
      </w:r>
      <w:r w:rsidR="00DE5FEC">
        <w:rPr>
          <w:rFonts w:ascii="Arial" w:hAnsi="Arial" w:cs="Arial"/>
          <w:shd w:val="clear" w:color="auto" w:fill="FFFFFF"/>
        </w:rPr>
        <w:t xml:space="preserve"> its recent</w:t>
      </w:r>
      <w:r w:rsidR="00D949CD">
        <w:rPr>
          <w:rFonts w:ascii="Arial" w:hAnsi="Arial" w:cs="Arial"/>
          <w:shd w:val="clear" w:color="auto" w:fill="FFFFFF"/>
        </w:rPr>
        <w:t xml:space="preserve">, </w:t>
      </w:r>
      <w:r w:rsidR="00DE5FEC">
        <w:rPr>
          <w:rFonts w:ascii="Arial" w:hAnsi="Arial" w:cs="Arial"/>
          <w:shd w:val="clear" w:color="auto" w:fill="FFFFFF"/>
        </w:rPr>
        <w:t xml:space="preserve">second consultation </w:t>
      </w:r>
      <w:r w:rsidR="00DE5FEC" w:rsidRPr="0072757B">
        <w:rPr>
          <w:rFonts w:ascii="Arial" w:hAnsi="Arial" w:cs="Arial"/>
          <w:shd w:val="clear" w:color="auto" w:fill="FFFFFF"/>
        </w:rPr>
        <w:t>on</w:t>
      </w:r>
      <w:r w:rsidR="00A823CA">
        <w:rPr>
          <w:rFonts w:ascii="Arial" w:hAnsi="Arial" w:cs="Arial"/>
          <w:shd w:val="clear" w:color="auto" w:fill="FFFFFF"/>
        </w:rPr>
        <w:t xml:space="preserve"> its</w:t>
      </w:r>
      <w:r w:rsidR="00DE5FEC" w:rsidRPr="0072757B">
        <w:rPr>
          <w:rFonts w:ascii="Arial" w:hAnsi="Arial" w:cs="Arial"/>
          <w:shd w:val="clear" w:color="auto" w:fill="FFFFFF"/>
        </w:rPr>
        <w:t xml:space="preserve"> </w:t>
      </w:r>
      <w:r w:rsidR="00DE5FEC">
        <w:rPr>
          <w:rFonts w:ascii="Arial" w:hAnsi="Arial" w:cs="Arial"/>
          <w:shd w:val="clear" w:color="auto" w:fill="FFFFFF"/>
        </w:rPr>
        <w:t>proposed methodology</w:t>
      </w:r>
      <w:r w:rsidR="00DE5FEC" w:rsidRPr="0072757B">
        <w:rPr>
          <w:rFonts w:ascii="Arial" w:hAnsi="Arial" w:cs="Arial"/>
          <w:shd w:val="clear" w:color="auto" w:fill="FFFFFF"/>
        </w:rPr>
        <w:t xml:space="preserve"> for identifying </w:t>
      </w:r>
      <w:r w:rsidR="004F430B">
        <w:rPr>
          <w:rFonts w:ascii="Arial" w:hAnsi="Arial" w:cs="Arial"/>
          <w:shd w:val="clear" w:color="auto" w:fill="FFFFFF"/>
        </w:rPr>
        <w:t>G-SIFI</w:t>
      </w:r>
      <w:r w:rsidR="000A771B">
        <w:rPr>
          <w:rFonts w:ascii="Arial" w:hAnsi="Arial" w:cs="Arial"/>
          <w:shd w:val="clear" w:color="auto" w:fill="FFFFFF"/>
        </w:rPr>
        <w:t>s</w:t>
      </w:r>
      <w:r w:rsidR="00DE5FEC" w:rsidRPr="0072757B">
        <w:rPr>
          <w:rFonts w:ascii="Arial" w:hAnsi="Arial" w:cs="Arial"/>
          <w:shd w:val="clear" w:color="auto" w:fill="FFFFFF"/>
        </w:rPr>
        <w:t>.</w:t>
      </w:r>
      <w:r w:rsidR="00EB3200">
        <w:rPr>
          <w:rFonts w:ascii="Arial" w:hAnsi="Arial" w:cs="Arial"/>
          <w:shd w:val="clear" w:color="auto" w:fill="FFFFFF"/>
        </w:rPr>
        <w:t xml:space="preserve">  </w:t>
      </w:r>
    </w:p>
    <w:p w14:paraId="384E6203" w14:textId="407B0509" w:rsidR="00E16EBC" w:rsidRDefault="00DE5FEC" w:rsidP="00E16EBC">
      <w:pPr>
        <w:ind w:left="2160"/>
        <w:rPr>
          <w:rFonts w:ascii="Arial" w:hAnsi="Arial" w:cs="Arial"/>
        </w:rPr>
      </w:pPr>
      <w:r w:rsidRPr="00E16EBC">
        <w:rPr>
          <w:rFonts w:ascii="Arial" w:hAnsi="Arial" w:cs="Arial"/>
          <w:shd w:val="clear" w:color="auto" w:fill="FFFFFF"/>
        </w:rPr>
        <w:t xml:space="preserve">The FSB released its first consultation </w:t>
      </w:r>
      <w:r w:rsidR="007942E1" w:rsidRPr="00E16EBC">
        <w:rPr>
          <w:rFonts w:ascii="Arial" w:hAnsi="Arial" w:cs="Arial"/>
          <w:shd w:val="clear" w:color="auto" w:fill="FFFFFF"/>
        </w:rPr>
        <w:t>on the matter in</w:t>
      </w:r>
      <w:r w:rsidR="00F251A3" w:rsidRPr="00E16EBC">
        <w:rPr>
          <w:rFonts w:ascii="Arial" w:hAnsi="Arial" w:cs="Arial"/>
          <w:shd w:val="clear" w:color="auto" w:fill="FFFFFF"/>
        </w:rPr>
        <w:t xml:space="preserve"> January 2014</w:t>
      </w:r>
      <w:r w:rsidR="00E16EBC" w:rsidRPr="00E16EBC">
        <w:rPr>
          <w:rFonts w:ascii="Arial" w:hAnsi="Arial" w:cs="Arial"/>
          <w:shd w:val="clear" w:color="auto" w:fill="FFFFFF"/>
        </w:rPr>
        <w:t xml:space="preserve">, </w:t>
      </w:r>
      <w:r w:rsidR="00981B97">
        <w:rPr>
          <w:rFonts w:ascii="Arial" w:hAnsi="Arial" w:cs="Arial"/>
          <w:shd w:val="clear" w:color="auto" w:fill="FFFFFF"/>
        </w:rPr>
        <w:t>proposing</w:t>
      </w:r>
      <w:r w:rsidR="00E16EBC" w:rsidRPr="00E16EBC">
        <w:rPr>
          <w:rFonts w:ascii="Arial" w:hAnsi="Arial" w:cs="Arial"/>
        </w:rPr>
        <w:t xml:space="preserve"> a methodology</w:t>
      </w:r>
      <w:r w:rsidR="00A823CA">
        <w:rPr>
          <w:rFonts w:ascii="Arial" w:hAnsi="Arial" w:cs="Arial"/>
        </w:rPr>
        <w:t xml:space="preserve"> for assessing investment funds</w:t>
      </w:r>
      <w:r w:rsidR="00E16EBC" w:rsidRPr="00E16EBC">
        <w:rPr>
          <w:rFonts w:ascii="Arial" w:hAnsi="Arial" w:cs="Arial"/>
        </w:rPr>
        <w:t xml:space="preserve"> based on a materiality threshold of US$100 billion in assets</w:t>
      </w:r>
      <w:proofErr w:type="gramStart"/>
      <w:r w:rsidR="00E16EBC" w:rsidRPr="00E16EBC">
        <w:rPr>
          <w:rFonts w:ascii="Arial" w:hAnsi="Arial" w:cs="Arial"/>
        </w:rPr>
        <w:t>.</w:t>
      </w:r>
      <w:r w:rsidR="009368F5">
        <w:rPr>
          <w:rFonts w:ascii="Arial" w:hAnsi="Arial" w:cs="Arial"/>
        </w:rPr>
        <w:t xml:space="preserve"> </w:t>
      </w:r>
      <w:r w:rsidR="00EB3200">
        <w:rPr>
          <w:rFonts w:ascii="Arial" w:hAnsi="Arial" w:cs="Arial"/>
        </w:rPr>
        <w:t xml:space="preserve"> </w:t>
      </w:r>
      <w:proofErr w:type="gramEnd"/>
      <w:r w:rsidR="00E16EBC" w:rsidRPr="00E16EBC">
        <w:rPr>
          <w:rFonts w:ascii="Arial" w:hAnsi="Arial" w:cs="Arial"/>
        </w:rPr>
        <w:t xml:space="preserve">If </w:t>
      </w:r>
      <w:r w:rsidR="00E16EBC" w:rsidRPr="00E16EBC">
        <w:rPr>
          <w:rFonts w:ascii="Arial" w:hAnsi="Arial" w:cs="Arial"/>
        </w:rPr>
        <w:lastRenderedPageBreak/>
        <w:t xml:space="preserve">applied, this threshold would have identified only 14 regulated US funds for further evaluation as potential G-SIFIs. </w:t>
      </w:r>
      <w:r w:rsidR="00EB3200">
        <w:rPr>
          <w:rFonts w:ascii="Arial" w:hAnsi="Arial" w:cs="Arial"/>
        </w:rPr>
        <w:t xml:space="preserve"> </w:t>
      </w:r>
    </w:p>
    <w:p w14:paraId="3ED81952" w14:textId="4A7D11E5" w:rsidR="00E16EBC" w:rsidRPr="00E16EBC" w:rsidRDefault="004F430B" w:rsidP="00E16EBC">
      <w:pPr>
        <w:ind w:left="2160"/>
        <w:rPr>
          <w:rFonts w:ascii="Arial" w:hAnsi="Arial" w:cs="Arial"/>
        </w:rPr>
      </w:pPr>
      <w:r w:rsidRPr="00E16EBC">
        <w:rPr>
          <w:rFonts w:ascii="Arial" w:hAnsi="Arial" w:cs="Arial"/>
          <w:shd w:val="clear" w:color="auto" w:fill="FFFFFF"/>
        </w:rPr>
        <w:t>In a comment letter and meetings</w:t>
      </w:r>
      <w:r w:rsidR="002B0665">
        <w:rPr>
          <w:rFonts w:ascii="Arial" w:hAnsi="Arial" w:cs="Arial"/>
          <w:shd w:val="clear" w:color="auto" w:fill="FFFFFF"/>
        </w:rPr>
        <w:t xml:space="preserve"> with the FSB</w:t>
      </w:r>
      <w:r w:rsidRPr="00E16EBC">
        <w:rPr>
          <w:rFonts w:ascii="Arial" w:hAnsi="Arial" w:cs="Arial"/>
          <w:shd w:val="clear" w:color="auto" w:fill="FFFFFF"/>
        </w:rPr>
        <w:t xml:space="preserve">, ICI and ICI Global </w:t>
      </w:r>
      <w:r w:rsidR="00E16EBC" w:rsidRPr="00E16EBC">
        <w:rPr>
          <w:rFonts w:ascii="Arial" w:hAnsi="Arial" w:cs="Arial"/>
          <w:shd w:val="clear" w:color="auto" w:fill="FFFFFF"/>
        </w:rPr>
        <w:t xml:space="preserve">explained why </w:t>
      </w:r>
      <w:r w:rsidR="00E16EBC">
        <w:rPr>
          <w:rFonts w:ascii="Arial" w:hAnsi="Arial" w:cs="Arial"/>
        </w:rPr>
        <w:t>s</w:t>
      </w:r>
      <w:r w:rsidR="00E16EBC" w:rsidRPr="00E16EBC">
        <w:rPr>
          <w:rFonts w:ascii="Arial" w:hAnsi="Arial" w:cs="Arial"/>
        </w:rPr>
        <w:t xml:space="preserve">ize alone </w:t>
      </w:r>
      <w:r w:rsidR="00E16EBC" w:rsidRPr="00E16EBC">
        <w:rPr>
          <w:rFonts w:ascii="Arial" w:hAnsi="Arial" w:cs="Arial"/>
          <w:shd w:val="clear" w:color="auto" w:fill="FFFFFF"/>
        </w:rPr>
        <w:t xml:space="preserve">reveals very little about whether a fund could pose risk to the financial system, and why any initial </w:t>
      </w:r>
      <w:proofErr w:type="gramStart"/>
      <w:r w:rsidR="00E16EBC" w:rsidRPr="00E16EBC">
        <w:rPr>
          <w:rFonts w:ascii="Arial" w:hAnsi="Arial" w:cs="Arial"/>
          <w:shd w:val="clear" w:color="auto" w:fill="FFFFFF"/>
        </w:rPr>
        <w:t>threshold</w:t>
      </w:r>
      <w:proofErr w:type="gramEnd"/>
      <w:r w:rsidR="00E16EBC" w:rsidRPr="00E16EBC">
        <w:rPr>
          <w:rFonts w:ascii="Arial" w:hAnsi="Arial" w:cs="Arial"/>
          <w:shd w:val="clear" w:color="auto" w:fill="FFFFFF"/>
        </w:rPr>
        <w:t xml:space="preserve"> used for evaluating investment funds should include balance-sheet leverage, which is what fuels serial contagion or systemic risk. </w:t>
      </w:r>
      <w:r w:rsidR="00EB3200">
        <w:rPr>
          <w:rFonts w:ascii="Arial" w:hAnsi="Arial" w:cs="Arial"/>
          <w:shd w:val="clear" w:color="auto" w:fill="FFFFFF"/>
        </w:rPr>
        <w:t xml:space="preserve"> </w:t>
      </w:r>
    </w:p>
    <w:p w14:paraId="40F5103A" w14:textId="3B24600C" w:rsidR="00E16EBC" w:rsidRDefault="00E16EBC" w:rsidP="00E16EBC">
      <w:pPr>
        <w:ind w:left="2160"/>
        <w:rPr>
          <w:rFonts w:ascii="Arial" w:eastAsia="Times New Roman" w:hAnsi="Arial" w:cs="Arial"/>
        </w:rPr>
      </w:pPr>
      <w:r w:rsidRPr="00E16EBC">
        <w:rPr>
          <w:rFonts w:ascii="Arial" w:eastAsia="Times New Roman" w:hAnsi="Arial" w:cs="Arial"/>
        </w:rPr>
        <w:t xml:space="preserve">ICI and ICI Global also demonstrated that the existing regulation and defining characteristics of regulated US stock and bond funds, as well as their historical experience, make G-SIFI designation for these funds unnecessary and inappropriate. </w:t>
      </w:r>
      <w:r w:rsidR="00EB3200">
        <w:rPr>
          <w:rFonts w:ascii="Arial" w:eastAsia="Times New Roman" w:hAnsi="Arial" w:cs="Arial"/>
        </w:rPr>
        <w:t xml:space="preserve"> </w:t>
      </w:r>
    </w:p>
    <w:bookmarkEnd w:id="0"/>
    <w:p w14:paraId="0970AD8B" w14:textId="60A256EE" w:rsidR="00E21DE7" w:rsidRPr="00E21DE7" w:rsidRDefault="00E21DE7" w:rsidP="00E21DE7">
      <w:pPr>
        <w:pStyle w:val="Default"/>
        <w:spacing w:after="360" w:line="360" w:lineRule="auto"/>
        <w:ind w:left="2160"/>
        <w:jc w:val="center"/>
        <w:rPr>
          <w:b/>
          <w:i/>
          <w:sz w:val="32"/>
          <w:szCs w:val="32"/>
        </w:rPr>
      </w:pPr>
      <w:r w:rsidRPr="002140E0">
        <w:rPr>
          <w:b/>
          <w:i/>
          <w:sz w:val="32"/>
          <w:szCs w:val="32"/>
        </w:rPr>
        <w:t>&lt;&lt;</w:t>
      </w:r>
      <w:r>
        <w:rPr>
          <w:b/>
          <w:i/>
          <w:sz w:val="32"/>
          <w:szCs w:val="32"/>
        </w:rPr>
        <w:t xml:space="preserve">CLICK TO </w:t>
      </w:r>
      <w:r w:rsidR="00C00A36">
        <w:rPr>
          <w:b/>
          <w:i/>
          <w:sz w:val="32"/>
          <w:szCs w:val="32"/>
        </w:rPr>
        <w:t xml:space="preserve">NEXT </w:t>
      </w:r>
      <w:r>
        <w:rPr>
          <w:b/>
          <w:i/>
          <w:sz w:val="32"/>
          <w:szCs w:val="32"/>
        </w:rPr>
        <w:t>SLIDE&gt;&gt;</w:t>
      </w:r>
    </w:p>
    <w:p w14:paraId="589CA806" w14:textId="5CF75B86" w:rsidR="00E21DE7" w:rsidRDefault="00E21DE7" w:rsidP="00E16EBC">
      <w:pPr>
        <w:ind w:left="2160"/>
        <w:rPr>
          <w:rFonts w:ascii="Arial" w:eastAsia="Times New Roman" w:hAnsi="Arial" w:cs="Arial"/>
        </w:rPr>
      </w:pPr>
      <w:r w:rsidRPr="00E21DE7">
        <w:rPr>
          <w:rFonts w:ascii="Arial" w:eastAsia="Times New Roman" w:hAnsi="Arial" w:cs="Arial"/>
          <w:noProof/>
        </w:rPr>
        <w:lastRenderedPageBreak/>
        <w:drawing>
          <wp:inline distT="0" distB="0" distL="0" distR="0" wp14:anchorId="187F06E3" wp14:editId="5C37F8D2">
            <wp:extent cx="4572638" cy="2572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2572109"/>
                    </a:xfrm>
                    <a:prstGeom prst="rect">
                      <a:avLst/>
                    </a:prstGeom>
                  </pic:spPr>
                </pic:pic>
              </a:graphicData>
            </a:graphic>
          </wp:inline>
        </w:drawing>
      </w:r>
    </w:p>
    <w:p w14:paraId="4946F457" w14:textId="58B05EAE" w:rsidR="00A72F89" w:rsidRDefault="00A72F89" w:rsidP="00E16EBC">
      <w:pPr>
        <w:ind w:left="2160"/>
        <w:rPr>
          <w:rFonts w:ascii="Arial" w:eastAsia="Times New Roman" w:hAnsi="Arial" w:cs="Arial"/>
        </w:rPr>
      </w:pPr>
      <w:r>
        <w:rPr>
          <w:rFonts w:ascii="Arial" w:eastAsia="Times New Roman" w:hAnsi="Arial" w:cs="Arial"/>
        </w:rPr>
        <w:t xml:space="preserve">The FSB’s second consultation, however, takes none of this into account, and </w:t>
      </w:r>
      <w:r w:rsidR="008566CC">
        <w:rPr>
          <w:rFonts w:ascii="Arial" w:eastAsia="Times New Roman" w:hAnsi="Arial" w:cs="Arial"/>
        </w:rPr>
        <w:t>is</w:t>
      </w:r>
      <w:r>
        <w:rPr>
          <w:rFonts w:ascii="Arial" w:eastAsia="Times New Roman" w:hAnsi="Arial" w:cs="Arial"/>
        </w:rPr>
        <w:t xml:space="preserve"> fundamentally flawed for </w:t>
      </w:r>
      <w:r w:rsidR="00F60D26">
        <w:rPr>
          <w:rFonts w:ascii="Arial" w:eastAsia="Times New Roman" w:hAnsi="Arial" w:cs="Arial"/>
        </w:rPr>
        <w:t xml:space="preserve">four </w:t>
      </w:r>
      <w:r>
        <w:rPr>
          <w:rFonts w:ascii="Arial" w:eastAsia="Times New Roman" w:hAnsi="Arial" w:cs="Arial"/>
        </w:rPr>
        <w:t>reasons:</w:t>
      </w:r>
      <w:r w:rsidR="00EB3200">
        <w:rPr>
          <w:rFonts w:ascii="Arial" w:eastAsia="Times New Roman" w:hAnsi="Arial" w:cs="Arial"/>
        </w:rPr>
        <w:t xml:space="preserve">  </w:t>
      </w:r>
    </w:p>
    <w:p w14:paraId="2A9EA0E4" w14:textId="07C1D576" w:rsidR="00A72F89" w:rsidRPr="00A72F89" w:rsidRDefault="000A771B" w:rsidP="00A72F89">
      <w:pPr>
        <w:pStyle w:val="ListParagraph"/>
        <w:numPr>
          <w:ilvl w:val="0"/>
          <w:numId w:val="11"/>
        </w:numPr>
        <w:rPr>
          <w:rFonts w:ascii="Arial" w:hAnsi="Arial" w:cs="Arial"/>
        </w:rPr>
      </w:pPr>
      <w:proofErr w:type="gramStart"/>
      <w:r>
        <w:rPr>
          <w:rFonts w:ascii="Arial" w:hAnsi="Arial" w:cs="Arial"/>
        </w:rPr>
        <w:t>first</w:t>
      </w:r>
      <w:proofErr w:type="gramEnd"/>
      <w:r>
        <w:rPr>
          <w:rFonts w:ascii="Arial" w:hAnsi="Arial" w:cs="Arial"/>
        </w:rPr>
        <w:t xml:space="preserve">, </w:t>
      </w:r>
      <w:r w:rsidR="00A72F89">
        <w:rPr>
          <w:rFonts w:ascii="Arial" w:hAnsi="Arial" w:cs="Arial"/>
        </w:rPr>
        <w:t>it continues to place undue emphasis on size;</w:t>
      </w:r>
      <w:r w:rsidR="00EB3200">
        <w:rPr>
          <w:rFonts w:ascii="Arial" w:hAnsi="Arial" w:cs="Arial"/>
        </w:rPr>
        <w:t xml:space="preserve"> </w:t>
      </w:r>
    </w:p>
    <w:p w14:paraId="1155679F" w14:textId="29E44590" w:rsidR="00F60D26" w:rsidRDefault="00F60D26" w:rsidP="00A72F89">
      <w:pPr>
        <w:pStyle w:val="ListParagraph"/>
        <w:numPr>
          <w:ilvl w:val="0"/>
          <w:numId w:val="11"/>
        </w:numPr>
        <w:rPr>
          <w:rFonts w:ascii="Arial" w:hAnsi="Arial" w:cs="Arial"/>
        </w:rPr>
      </w:pPr>
      <w:proofErr w:type="gramStart"/>
      <w:r>
        <w:rPr>
          <w:rFonts w:ascii="Arial" w:hAnsi="Arial" w:cs="Arial"/>
        </w:rPr>
        <w:t>second</w:t>
      </w:r>
      <w:proofErr w:type="gramEnd"/>
      <w:r>
        <w:rPr>
          <w:rFonts w:ascii="Arial" w:hAnsi="Arial" w:cs="Arial"/>
        </w:rPr>
        <w:t xml:space="preserve">, </w:t>
      </w:r>
      <w:r w:rsidR="005B0FD4">
        <w:rPr>
          <w:rFonts w:ascii="Arial" w:hAnsi="Arial" w:cs="Arial"/>
        </w:rPr>
        <w:t>it adds a methodology for asset managers</w:t>
      </w:r>
      <w:r w:rsidR="00B211A2">
        <w:rPr>
          <w:rFonts w:ascii="Arial" w:hAnsi="Arial" w:cs="Arial"/>
        </w:rPr>
        <w:t>;</w:t>
      </w:r>
      <w:r w:rsidR="005B0FD4">
        <w:rPr>
          <w:rFonts w:ascii="Arial" w:hAnsi="Arial" w:cs="Arial"/>
        </w:rPr>
        <w:t xml:space="preserve"> </w:t>
      </w:r>
    </w:p>
    <w:p w14:paraId="1785F312" w14:textId="7A26DDEB" w:rsidR="00A72F89" w:rsidRDefault="00F60D26" w:rsidP="00A72F89">
      <w:pPr>
        <w:pStyle w:val="ListParagraph"/>
        <w:numPr>
          <w:ilvl w:val="0"/>
          <w:numId w:val="11"/>
        </w:numPr>
        <w:rPr>
          <w:rFonts w:ascii="Arial" w:hAnsi="Arial" w:cs="Arial"/>
        </w:rPr>
      </w:pPr>
      <w:proofErr w:type="gramStart"/>
      <w:r>
        <w:rPr>
          <w:rFonts w:ascii="Arial" w:hAnsi="Arial" w:cs="Arial"/>
        </w:rPr>
        <w:t>third</w:t>
      </w:r>
      <w:proofErr w:type="gramEnd"/>
      <w:r w:rsidR="000A771B">
        <w:rPr>
          <w:rFonts w:ascii="Arial" w:hAnsi="Arial" w:cs="Arial"/>
        </w:rPr>
        <w:t xml:space="preserve">, </w:t>
      </w:r>
      <w:r w:rsidR="00A72F89">
        <w:rPr>
          <w:rFonts w:ascii="Arial" w:hAnsi="Arial" w:cs="Arial"/>
        </w:rPr>
        <w:t xml:space="preserve">it </w:t>
      </w:r>
      <w:r w:rsidR="00E21DE7">
        <w:rPr>
          <w:rFonts w:ascii="Arial" w:hAnsi="Arial" w:cs="Arial"/>
        </w:rPr>
        <w:t>follows</w:t>
      </w:r>
      <w:r w:rsidR="00D43768">
        <w:rPr>
          <w:rFonts w:ascii="Arial" w:hAnsi="Arial" w:cs="Arial"/>
        </w:rPr>
        <w:t xml:space="preserve"> a</w:t>
      </w:r>
      <w:r w:rsidR="00A72F89">
        <w:rPr>
          <w:rFonts w:ascii="Arial" w:hAnsi="Arial" w:cs="Arial"/>
        </w:rPr>
        <w:t xml:space="preserve"> “</w:t>
      </w:r>
      <w:r w:rsidR="00D43768">
        <w:rPr>
          <w:rFonts w:ascii="Arial" w:hAnsi="Arial" w:cs="Arial"/>
        </w:rPr>
        <w:t>foolish consistency</w:t>
      </w:r>
      <w:r w:rsidR="00A72F89">
        <w:rPr>
          <w:rFonts w:ascii="Arial" w:hAnsi="Arial" w:cs="Arial"/>
        </w:rPr>
        <w:t>” by insisting that methodologies for funds and the managers should be</w:t>
      </w:r>
      <w:r w:rsidR="00D43768">
        <w:rPr>
          <w:rFonts w:ascii="Arial" w:hAnsi="Arial" w:cs="Arial"/>
        </w:rPr>
        <w:t xml:space="preserve"> broadly consistent</w:t>
      </w:r>
      <w:r w:rsidR="00A72F89">
        <w:rPr>
          <w:rFonts w:ascii="Arial" w:hAnsi="Arial" w:cs="Arial"/>
        </w:rPr>
        <w:t xml:space="preserve"> with standards applied to G-SIFI banks and insurers; and</w:t>
      </w:r>
      <w:r w:rsidR="00EB3200">
        <w:rPr>
          <w:rFonts w:ascii="Arial" w:hAnsi="Arial" w:cs="Arial"/>
        </w:rPr>
        <w:t xml:space="preserve"> </w:t>
      </w:r>
    </w:p>
    <w:p w14:paraId="74AB740A" w14:textId="00A0C93F" w:rsidR="005C22DF" w:rsidRDefault="004C3A87" w:rsidP="005C22DF">
      <w:pPr>
        <w:pStyle w:val="ListParagraph"/>
        <w:numPr>
          <w:ilvl w:val="0"/>
          <w:numId w:val="11"/>
        </w:numPr>
        <w:rPr>
          <w:rFonts w:ascii="Arial" w:hAnsi="Arial" w:cs="Arial"/>
        </w:rPr>
      </w:pPr>
      <w:proofErr w:type="gramStart"/>
      <w:r>
        <w:rPr>
          <w:rFonts w:ascii="Arial" w:hAnsi="Arial" w:cs="Arial"/>
        </w:rPr>
        <w:lastRenderedPageBreak/>
        <w:t>finally</w:t>
      </w:r>
      <w:proofErr w:type="gramEnd"/>
      <w:r>
        <w:rPr>
          <w:rFonts w:ascii="Arial" w:hAnsi="Arial" w:cs="Arial"/>
        </w:rPr>
        <w:t xml:space="preserve">, </w:t>
      </w:r>
      <w:r w:rsidR="00A72F89">
        <w:rPr>
          <w:rFonts w:ascii="Arial" w:hAnsi="Arial" w:cs="Arial"/>
        </w:rPr>
        <w:t xml:space="preserve">it </w:t>
      </w:r>
      <w:r w:rsidR="00222E0D">
        <w:rPr>
          <w:rFonts w:ascii="Arial" w:hAnsi="Arial" w:cs="Arial"/>
        </w:rPr>
        <w:t xml:space="preserve">relies on conjecture rather than </w:t>
      </w:r>
      <w:r w:rsidR="00A72F89">
        <w:rPr>
          <w:rFonts w:ascii="Arial" w:hAnsi="Arial" w:cs="Arial"/>
        </w:rPr>
        <w:t>empirical and historical evidence about regulated funds</w:t>
      </w:r>
      <w:r w:rsidR="00222E0D">
        <w:rPr>
          <w:rFonts w:ascii="Arial" w:hAnsi="Arial" w:cs="Arial"/>
        </w:rPr>
        <w:t>.</w:t>
      </w:r>
      <w:r w:rsidR="00EB3200">
        <w:rPr>
          <w:rFonts w:ascii="Arial" w:hAnsi="Arial" w:cs="Arial"/>
        </w:rPr>
        <w:t xml:space="preserve">  </w:t>
      </w:r>
    </w:p>
    <w:p w14:paraId="05852AC7" w14:textId="6ED54B66" w:rsidR="00682740" w:rsidRDefault="005C22DF" w:rsidP="00682740">
      <w:pPr>
        <w:autoSpaceDE w:val="0"/>
        <w:autoSpaceDN w:val="0"/>
        <w:adjustRightInd w:val="0"/>
        <w:ind w:left="2160"/>
        <w:rPr>
          <w:rFonts w:ascii="Arial" w:hAnsi="Arial" w:cs="Arial"/>
        </w:rPr>
      </w:pPr>
      <w:r>
        <w:rPr>
          <w:rFonts w:ascii="Arial" w:hAnsi="Arial" w:cs="Arial"/>
        </w:rPr>
        <w:t xml:space="preserve">First let’s discuss the FSB’s </w:t>
      </w:r>
      <w:r w:rsidR="006D4ED5">
        <w:rPr>
          <w:rFonts w:ascii="Arial" w:hAnsi="Arial" w:cs="Arial"/>
        </w:rPr>
        <w:t>misguided focus</w:t>
      </w:r>
      <w:r>
        <w:rPr>
          <w:rFonts w:ascii="Arial" w:hAnsi="Arial" w:cs="Arial"/>
        </w:rPr>
        <w:t xml:space="preserve"> on size</w:t>
      </w:r>
      <w:r w:rsidR="002A73B9">
        <w:rPr>
          <w:rFonts w:ascii="Arial" w:hAnsi="Arial" w:cs="Arial"/>
        </w:rPr>
        <w:t>.</w:t>
      </w:r>
      <w:r w:rsidR="009368F5">
        <w:rPr>
          <w:rFonts w:ascii="Arial" w:hAnsi="Arial" w:cs="Arial"/>
        </w:rPr>
        <w:t xml:space="preserve"> </w:t>
      </w:r>
      <w:r w:rsidR="00EB3200">
        <w:rPr>
          <w:rFonts w:ascii="Arial" w:hAnsi="Arial" w:cs="Arial"/>
        </w:rPr>
        <w:t xml:space="preserve"> </w:t>
      </w:r>
    </w:p>
    <w:p w14:paraId="32CD3706" w14:textId="045C321D" w:rsidR="005F5C62" w:rsidRDefault="00C56641" w:rsidP="007F3941">
      <w:pPr>
        <w:autoSpaceDE w:val="0"/>
        <w:autoSpaceDN w:val="0"/>
        <w:adjustRightInd w:val="0"/>
        <w:ind w:left="2160"/>
        <w:rPr>
          <w:rFonts w:ascii="Arial" w:hAnsi="Arial" w:cs="Arial"/>
        </w:rPr>
      </w:pPr>
      <w:r>
        <w:rPr>
          <w:rFonts w:ascii="Arial" w:hAnsi="Arial" w:cs="Arial"/>
        </w:rPr>
        <w:t>The FSB proposes</w:t>
      </w:r>
      <w:r w:rsidR="00EB3200">
        <w:rPr>
          <w:rFonts w:ascii="Arial" w:hAnsi="Arial" w:cs="Arial"/>
        </w:rPr>
        <w:t xml:space="preserve"> two possible materiality </w:t>
      </w:r>
      <w:r w:rsidR="005F5C62">
        <w:rPr>
          <w:rFonts w:ascii="Arial" w:hAnsi="Arial" w:cs="Arial"/>
        </w:rPr>
        <w:t>thresholds</w:t>
      </w:r>
      <w:r w:rsidR="00C12880">
        <w:rPr>
          <w:rFonts w:ascii="Arial" w:hAnsi="Arial" w:cs="Arial"/>
        </w:rPr>
        <w:t xml:space="preserve"> for investment funds</w:t>
      </w:r>
      <w:r w:rsidR="005F5C62">
        <w:rPr>
          <w:rFonts w:ascii="Arial" w:hAnsi="Arial" w:cs="Arial"/>
        </w:rPr>
        <w:t xml:space="preserve"> that once again would single out large, highly regulated, transparent</w:t>
      </w:r>
      <w:r w:rsidR="00986BF3">
        <w:rPr>
          <w:rFonts w:ascii="Arial" w:hAnsi="Arial" w:cs="Arial"/>
        </w:rPr>
        <w:t>,</w:t>
      </w:r>
      <w:r w:rsidR="005F5C62">
        <w:rPr>
          <w:rFonts w:ascii="Arial" w:hAnsi="Arial" w:cs="Arial"/>
        </w:rPr>
        <w:t xml:space="preserve"> and </w:t>
      </w:r>
      <w:r w:rsidR="005F5C62" w:rsidRPr="00253850">
        <w:rPr>
          <w:rFonts w:ascii="Arial" w:hAnsi="Arial" w:cs="Arial"/>
        </w:rPr>
        <w:t>unleveraged</w:t>
      </w:r>
      <w:r w:rsidR="005F5C62">
        <w:rPr>
          <w:rFonts w:ascii="Arial" w:hAnsi="Arial" w:cs="Arial"/>
        </w:rPr>
        <w:t xml:space="preserve"> funds for designation.</w:t>
      </w:r>
      <w:r w:rsidR="00EB3200">
        <w:rPr>
          <w:rFonts w:ascii="Arial" w:hAnsi="Arial" w:cs="Arial"/>
        </w:rPr>
        <w:t xml:space="preserve">  </w:t>
      </w:r>
    </w:p>
    <w:p w14:paraId="38800B81" w14:textId="4D00E1CD" w:rsidR="005F5C62" w:rsidRDefault="00C56641" w:rsidP="005F5C62">
      <w:pPr>
        <w:autoSpaceDE w:val="0"/>
        <w:autoSpaceDN w:val="0"/>
        <w:adjustRightInd w:val="0"/>
        <w:ind w:left="2160"/>
        <w:rPr>
          <w:rFonts w:ascii="Arial" w:hAnsi="Arial" w:cs="Arial"/>
        </w:rPr>
      </w:pPr>
      <w:r>
        <w:rPr>
          <w:rFonts w:ascii="Arial" w:hAnsi="Arial" w:cs="Arial"/>
        </w:rPr>
        <w:t>When applied</w:t>
      </w:r>
      <w:r w:rsidR="00C12880">
        <w:rPr>
          <w:rFonts w:ascii="Arial" w:hAnsi="Arial" w:cs="Arial"/>
        </w:rPr>
        <w:t>, the</w:t>
      </w:r>
      <w:r w:rsidR="00682740">
        <w:rPr>
          <w:rFonts w:ascii="Arial" w:hAnsi="Arial" w:cs="Arial"/>
        </w:rPr>
        <w:t xml:space="preserve"> materiality thresholds </w:t>
      </w:r>
      <w:r w:rsidR="00033E90">
        <w:rPr>
          <w:rFonts w:ascii="Arial" w:hAnsi="Arial" w:cs="Arial"/>
        </w:rPr>
        <w:t>would result in</w:t>
      </w:r>
      <w:r w:rsidR="005F5C62">
        <w:rPr>
          <w:rFonts w:ascii="Arial" w:hAnsi="Arial" w:cs="Arial"/>
        </w:rPr>
        <w:t xml:space="preserve"> 14 US funds</w:t>
      </w:r>
      <w:r>
        <w:rPr>
          <w:rFonts w:ascii="Arial" w:hAnsi="Arial" w:cs="Arial"/>
        </w:rPr>
        <w:t xml:space="preserve"> as of March </w:t>
      </w:r>
      <w:proofErr w:type="gramStart"/>
      <w:r>
        <w:rPr>
          <w:rFonts w:ascii="Arial" w:hAnsi="Arial" w:cs="Arial"/>
        </w:rPr>
        <w:t>31st</w:t>
      </w:r>
      <w:proofErr w:type="gramEnd"/>
      <w:r w:rsidR="005F5C62">
        <w:rPr>
          <w:rFonts w:ascii="Arial" w:hAnsi="Arial" w:cs="Arial"/>
        </w:rPr>
        <w:t xml:space="preserve">. </w:t>
      </w:r>
      <w:r w:rsidR="00EB3200">
        <w:rPr>
          <w:rFonts w:ascii="Arial" w:hAnsi="Arial" w:cs="Arial"/>
        </w:rPr>
        <w:t xml:space="preserve"> </w:t>
      </w:r>
    </w:p>
    <w:p w14:paraId="2E2F675D" w14:textId="307A87F7" w:rsidR="00682740" w:rsidRDefault="005C22DF" w:rsidP="00682740">
      <w:pPr>
        <w:pStyle w:val="NormalWeb"/>
        <w:spacing w:before="0" w:beforeAutospacing="0" w:after="360" w:afterAutospacing="0" w:line="360" w:lineRule="auto"/>
        <w:ind w:left="2160"/>
        <w:rPr>
          <w:rFonts w:ascii="Arial" w:hAnsi="Arial" w:cs="Arial"/>
          <w:sz w:val="32"/>
          <w:szCs w:val="32"/>
        </w:rPr>
      </w:pPr>
      <w:r w:rsidRPr="0031639D">
        <w:rPr>
          <w:rFonts w:ascii="Arial" w:hAnsi="Arial" w:cs="Arial"/>
          <w:sz w:val="32"/>
          <w:szCs w:val="32"/>
        </w:rPr>
        <w:t>These funds</w:t>
      </w:r>
      <w:r w:rsidR="005F5C62">
        <w:rPr>
          <w:rFonts w:ascii="Arial" w:hAnsi="Arial" w:cs="Arial"/>
          <w:sz w:val="32"/>
          <w:szCs w:val="32"/>
        </w:rPr>
        <w:t>, however,</w:t>
      </w:r>
      <w:r w:rsidRPr="0031639D">
        <w:rPr>
          <w:rFonts w:ascii="Arial" w:hAnsi="Arial" w:cs="Arial"/>
          <w:sz w:val="32"/>
          <w:szCs w:val="32"/>
        </w:rPr>
        <w:t xml:space="preserve"> have not been</w:t>
      </w:r>
      <w:r w:rsidR="0031639D">
        <w:rPr>
          <w:rFonts w:ascii="Arial" w:hAnsi="Arial" w:cs="Arial"/>
          <w:sz w:val="32"/>
          <w:szCs w:val="32"/>
        </w:rPr>
        <w:t xml:space="preserve"> </w:t>
      </w:r>
      <w:r w:rsidRPr="0031639D">
        <w:rPr>
          <w:rFonts w:ascii="Arial" w:hAnsi="Arial" w:cs="Arial"/>
          <w:sz w:val="32"/>
          <w:szCs w:val="32"/>
        </w:rPr>
        <w:t>—</w:t>
      </w:r>
      <w:r w:rsidR="0031639D">
        <w:rPr>
          <w:rFonts w:ascii="Arial" w:hAnsi="Arial" w:cs="Arial"/>
          <w:sz w:val="32"/>
          <w:szCs w:val="32"/>
        </w:rPr>
        <w:t xml:space="preserve"> </w:t>
      </w:r>
      <w:r w:rsidRPr="0031639D">
        <w:rPr>
          <w:rFonts w:ascii="Arial" w:hAnsi="Arial" w:cs="Arial"/>
          <w:sz w:val="32"/>
          <w:szCs w:val="32"/>
        </w:rPr>
        <w:t>and are not expected to be</w:t>
      </w:r>
      <w:r w:rsidR="0031639D">
        <w:rPr>
          <w:rFonts w:ascii="Arial" w:hAnsi="Arial" w:cs="Arial"/>
          <w:sz w:val="32"/>
          <w:szCs w:val="32"/>
        </w:rPr>
        <w:t xml:space="preserve"> </w:t>
      </w:r>
      <w:r w:rsidRPr="0031639D">
        <w:rPr>
          <w:rFonts w:ascii="Arial" w:hAnsi="Arial" w:cs="Arial"/>
          <w:sz w:val="32"/>
          <w:szCs w:val="32"/>
        </w:rPr>
        <w:t>—</w:t>
      </w:r>
      <w:r w:rsidR="0031639D">
        <w:rPr>
          <w:rFonts w:ascii="Arial" w:hAnsi="Arial" w:cs="Arial"/>
          <w:sz w:val="32"/>
          <w:szCs w:val="32"/>
        </w:rPr>
        <w:t xml:space="preserve"> </w:t>
      </w:r>
      <w:r w:rsidR="008B7BBE">
        <w:rPr>
          <w:rFonts w:ascii="Arial" w:hAnsi="Arial" w:cs="Arial"/>
          <w:sz w:val="32"/>
          <w:szCs w:val="32"/>
        </w:rPr>
        <w:t xml:space="preserve">sources of risk to global </w:t>
      </w:r>
      <w:r w:rsidRPr="0031639D">
        <w:rPr>
          <w:rFonts w:ascii="Arial" w:hAnsi="Arial" w:cs="Arial"/>
          <w:sz w:val="32"/>
          <w:szCs w:val="32"/>
        </w:rPr>
        <w:t>financial stability.</w:t>
      </w:r>
      <w:r w:rsidR="009368F5">
        <w:rPr>
          <w:rFonts w:ascii="Arial" w:hAnsi="Arial" w:cs="Arial"/>
          <w:sz w:val="32"/>
          <w:szCs w:val="32"/>
        </w:rPr>
        <w:t xml:space="preserve"> </w:t>
      </w:r>
      <w:r w:rsidR="00EB3200">
        <w:rPr>
          <w:rFonts w:ascii="Arial" w:hAnsi="Arial" w:cs="Arial"/>
          <w:sz w:val="32"/>
          <w:szCs w:val="32"/>
        </w:rPr>
        <w:t xml:space="preserve"> </w:t>
      </w:r>
    </w:p>
    <w:p w14:paraId="6890771C" w14:textId="22969315" w:rsidR="00682740" w:rsidRDefault="005C22DF" w:rsidP="00253850">
      <w:pPr>
        <w:pStyle w:val="NormalWeb"/>
        <w:spacing w:before="0" w:beforeAutospacing="0" w:after="360" w:afterAutospacing="0" w:line="360" w:lineRule="auto"/>
        <w:ind w:left="2160"/>
        <w:rPr>
          <w:rFonts w:ascii="Arial" w:hAnsi="Arial" w:cs="Arial"/>
          <w:sz w:val="32"/>
          <w:szCs w:val="32"/>
        </w:rPr>
      </w:pPr>
      <w:r w:rsidRPr="0031639D">
        <w:rPr>
          <w:rFonts w:ascii="Arial" w:hAnsi="Arial" w:cs="Arial"/>
          <w:sz w:val="32"/>
          <w:szCs w:val="32"/>
        </w:rPr>
        <w:t xml:space="preserve">In fact, </w:t>
      </w:r>
      <w:r w:rsidR="00682740">
        <w:rPr>
          <w:rFonts w:ascii="Arial" w:hAnsi="Arial" w:cs="Arial"/>
          <w:sz w:val="32"/>
          <w:szCs w:val="32"/>
        </w:rPr>
        <w:t>these funds demonstrated a remarkable degree of stability during the financial crisis</w:t>
      </w:r>
      <w:proofErr w:type="gramStart"/>
      <w:r w:rsidR="00253850">
        <w:rPr>
          <w:rFonts w:ascii="Arial" w:hAnsi="Arial" w:cs="Arial"/>
          <w:sz w:val="32"/>
          <w:szCs w:val="32"/>
        </w:rPr>
        <w:t>.</w:t>
      </w:r>
      <w:r w:rsidR="009368F5">
        <w:rPr>
          <w:rFonts w:ascii="Arial" w:hAnsi="Arial" w:cs="Arial"/>
          <w:sz w:val="32"/>
          <w:szCs w:val="32"/>
        </w:rPr>
        <w:t xml:space="preserve"> </w:t>
      </w:r>
      <w:r w:rsidR="00EB3200">
        <w:rPr>
          <w:rFonts w:ascii="Arial" w:hAnsi="Arial" w:cs="Arial"/>
          <w:sz w:val="32"/>
          <w:szCs w:val="32"/>
        </w:rPr>
        <w:t xml:space="preserve"> </w:t>
      </w:r>
      <w:proofErr w:type="gramEnd"/>
      <w:r w:rsidR="00253850">
        <w:rPr>
          <w:rFonts w:ascii="Arial" w:hAnsi="Arial" w:cs="Arial"/>
          <w:sz w:val="32"/>
          <w:szCs w:val="32"/>
        </w:rPr>
        <w:t xml:space="preserve">This is partly because they make little to no use of leverage and do not have the riskiness of banks, as they </w:t>
      </w:r>
      <w:r w:rsidR="00682740">
        <w:rPr>
          <w:rFonts w:ascii="Arial" w:hAnsi="Arial" w:cs="Arial"/>
          <w:sz w:val="32"/>
          <w:szCs w:val="32"/>
        </w:rPr>
        <w:t xml:space="preserve">are among the most comprehensively </w:t>
      </w:r>
      <w:r w:rsidR="00682740">
        <w:rPr>
          <w:rFonts w:ascii="Arial" w:hAnsi="Arial" w:cs="Arial"/>
          <w:sz w:val="32"/>
          <w:szCs w:val="32"/>
        </w:rPr>
        <w:lastRenderedPageBreak/>
        <w:t>regulated and highly transparent parts of the global financial system.</w:t>
      </w:r>
      <w:r w:rsidR="00EB3200">
        <w:rPr>
          <w:rFonts w:ascii="Arial" w:hAnsi="Arial" w:cs="Arial"/>
          <w:sz w:val="32"/>
          <w:szCs w:val="32"/>
        </w:rPr>
        <w:t xml:space="preserve">  </w:t>
      </w:r>
    </w:p>
    <w:p w14:paraId="52EBB565" w14:textId="0595590F" w:rsidR="00947A93" w:rsidRPr="002A5C69" w:rsidRDefault="00682740" w:rsidP="00947A93">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Thus,</w:t>
      </w:r>
      <w:r w:rsidR="00416D9E">
        <w:rPr>
          <w:rFonts w:ascii="Arial" w:hAnsi="Arial" w:cs="Arial"/>
          <w:sz w:val="32"/>
          <w:szCs w:val="32"/>
        </w:rPr>
        <w:t xml:space="preserve"> the FSB’s reliance on</w:t>
      </w:r>
      <w:r>
        <w:rPr>
          <w:rFonts w:ascii="Arial" w:hAnsi="Arial" w:cs="Arial"/>
          <w:sz w:val="32"/>
          <w:szCs w:val="32"/>
        </w:rPr>
        <w:t xml:space="preserve"> size </w:t>
      </w:r>
      <w:r w:rsidR="00416D9E">
        <w:rPr>
          <w:rFonts w:ascii="Arial" w:hAnsi="Arial" w:cs="Arial"/>
          <w:sz w:val="32"/>
          <w:szCs w:val="32"/>
        </w:rPr>
        <w:t>as</w:t>
      </w:r>
      <w:r w:rsidR="009A2C48" w:rsidRPr="002A5C69">
        <w:rPr>
          <w:rFonts w:ascii="Arial" w:hAnsi="Arial" w:cs="Arial"/>
          <w:sz w:val="32"/>
          <w:szCs w:val="32"/>
        </w:rPr>
        <w:t xml:space="preserve"> a </w:t>
      </w:r>
      <w:r w:rsidR="005C22DF" w:rsidRPr="002A5C69">
        <w:rPr>
          <w:rFonts w:ascii="Arial" w:hAnsi="Arial" w:cs="Arial"/>
          <w:sz w:val="32"/>
          <w:szCs w:val="32"/>
        </w:rPr>
        <w:t>primary driver of systemic risk</w:t>
      </w:r>
      <w:r w:rsidR="00416D9E">
        <w:rPr>
          <w:rFonts w:ascii="Arial" w:hAnsi="Arial" w:cs="Arial"/>
          <w:sz w:val="32"/>
          <w:szCs w:val="32"/>
        </w:rPr>
        <w:t xml:space="preserve"> is misguided</w:t>
      </w:r>
      <w:r w:rsidR="008B7BBE">
        <w:rPr>
          <w:rFonts w:ascii="Arial" w:hAnsi="Arial" w:cs="Arial"/>
          <w:sz w:val="32"/>
          <w:szCs w:val="32"/>
        </w:rPr>
        <w:t xml:space="preserve">, and moreover, </w:t>
      </w:r>
      <w:r w:rsidR="00947A93">
        <w:rPr>
          <w:rFonts w:ascii="Arial" w:hAnsi="Arial" w:cs="Arial"/>
          <w:sz w:val="32"/>
          <w:szCs w:val="32"/>
        </w:rPr>
        <w:t>arbitrary.</w:t>
      </w:r>
      <w:r w:rsidR="00416D9E">
        <w:rPr>
          <w:rFonts w:ascii="Arial" w:hAnsi="Arial" w:cs="Arial"/>
          <w:sz w:val="32"/>
          <w:szCs w:val="32"/>
        </w:rPr>
        <w:t xml:space="preserve"> </w:t>
      </w:r>
      <w:r w:rsidR="00EB3200">
        <w:rPr>
          <w:rFonts w:ascii="Arial" w:hAnsi="Arial" w:cs="Arial"/>
          <w:sz w:val="32"/>
          <w:szCs w:val="32"/>
        </w:rPr>
        <w:t xml:space="preserve"> </w:t>
      </w:r>
    </w:p>
    <w:p w14:paraId="5D6A5F55" w14:textId="4D86526A" w:rsidR="005C22DF" w:rsidRDefault="00947A93" w:rsidP="00682740">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If</w:t>
      </w:r>
      <w:r w:rsidR="005C22DF" w:rsidRPr="002A5C69">
        <w:rPr>
          <w:rFonts w:ascii="Arial" w:hAnsi="Arial" w:cs="Arial"/>
          <w:sz w:val="32"/>
          <w:szCs w:val="32"/>
        </w:rPr>
        <w:t xml:space="preserve"> size is truly a concern, it is inappropriate for the FSB to exclude from consideration other, larger investment pools such as pension funds and sovereign wealth funds. </w:t>
      </w:r>
      <w:r w:rsidR="00EB3200">
        <w:rPr>
          <w:rFonts w:ascii="Arial" w:hAnsi="Arial" w:cs="Arial"/>
          <w:sz w:val="32"/>
          <w:szCs w:val="32"/>
        </w:rPr>
        <w:t xml:space="preserve"> </w:t>
      </w:r>
    </w:p>
    <w:p w14:paraId="069880BE" w14:textId="70B1E7A5" w:rsidR="007C3442" w:rsidRDefault="007C3442" w:rsidP="007C3442">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 xml:space="preserve">Indeed, </w:t>
      </w:r>
      <w:r w:rsidRPr="002A5C69">
        <w:rPr>
          <w:rFonts w:ascii="Arial" w:hAnsi="Arial" w:cs="Arial"/>
          <w:sz w:val="32"/>
          <w:szCs w:val="32"/>
        </w:rPr>
        <w:t>nine sovereign wealth and pension funds are larger than the world’s largest regulated fund</w:t>
      </w:r>
      <w:proofErr w:type="gramStart"/>
      <w:r w:rsidRPr="002A5C69">
        <w:rPr>
          <w:rFonts w:ascii="Arial" w:hAnsi="Arial" w:cs="Arial"/>
          <w:sz w:val="32"/>
          <w:szCs w:val="32"/>
        </w:rPr>
        <w:t xml:space="preserve">. </w:t>
      </w:r>
      <w:r w:rsidR="00EB3200">
        <w:rPr>
          <w:rFonts w:ascii="Arial" w:hAnsi="Arial" w:cs="Arial"/>
          <w:sz w:val="32"/>
          <w:szCs w:val="32"/>
        </w:rPr>
        <w:t xml:space="preserve"> </w:t>
      </w:r>
      <w:proofErr w:type="gramEnd"/>
      <w:r w:rsidRPr="002A5C69">
        <w:rPr>
          <w:rFonts w:ascii="Arial" w:hAnsi="Arial" w:cs="Arial"/>
          <w:sz w:val="32"/>
          <w:szCs w:val="32"/>
        </w:rPr>
        <w:t>And another 26 sovereign wealth and pension funds exceed $100 billion in assets, one of FSB’s size-based evaluation thresholds.</w:t>
      </w:r>
      <w:r w:rsidR="00EB3200">
        <w:rPr>
          <w:rFonts w:ascii="Arial" w:hAnsi="Arial" w:cs="Arial"/>
          <w:sz w:val="32"/>
          <w:szCs w:val="32"/>
        </w:rPr>
        <w:t xml:space="preserve">  </w:t>
      </w:r>
    </w:p>
    <w:p w14:paraId="714A6AC2" w14:textId="238FA96E" w:rsidR="007C3442" w:rsidRDefault="00682740" w:rsidP="007C3442">
      <w:pPr>
        <w:pStyle w:val="NormalWeb"/>
        <w:spacing w:before="0" w:beforeAutospacing="0" w:after="360" w:afterAutospacing="0" w:line="360" w:lineRule="auto"/>
        <w:ind w:left="2160"/>
        <w:rPr>
          <w:rFonts w:ascii="Arial" w:hAnsi="Arial" w:cs="Arial"/>
          <w:sz w:val="32"/>
          <w:szCs w:val="32"/>
        </w:rPr>
      </w:pPr>
      <w:proofErr w:type="gramStart"/>
      <w:r>
        <w:rPr>
          <w:rFonts w:ascii="Arial" w:hAnsi="Arial" w:cs="Arial"/>
          <w:sz w:val="32"/>
          <w:szCs w:val="32"/>
        </w:rPr>
        <w:t xml:space="preserve">Now let me be clear, </w:t>
      </w:r>
      <w:r w:rsidR="007C3442">
        <w:rPr>
          <w:rFonts w:ascii="Arial" w:hAnsi="Arial" w:cs="Arial"/>
          <w:sz w:val="32"/>
          <w:szCs w:val="32"/>
        </w:rPr>
        <w:t xml:space="preserve">ICI and ICI Global </w:t>
      </w:r>
      <w:r w:rsidR="007C3442" w:rsidRPr="00364DE8">
        <w:rPr>
          <w:rFonts w:ascii="Arial" w:hAnsi="Arial" w:cs="Arial"/>
          <w:sz w:val="32"/>
          <w:szCs w:val="32"/>
          <w:u w:val="single"/>
        </w:rPr>
        <w:t>do not</w:t>
      </w:r>
      <w:r w:rsidR="007C3442">
        <w:rPr>
          <w:rFonts w:ascii="Arial" w:hAnsi="Arial" w:cs="Arial"/>
          <w:sz w:val="32"/>
          <w:szCs w:val="32"/>
        </w:rPr>
        <w:t xml:space="preserve"> advocate designating these investment pools as G-SIFIs.</w:t>
      </w:r>
      <w:proofErr w:type="gramEnd"/>
      <w:r w:rsidR="007C3442">
        <w:rPr>
          <w:rFonts w:ascii="Arial" w:hAnsi="Arial" w:cs="Arial"/>
          <w:sz w:val="32"/>
          <w:szCs w:val="32"/>
        </w:rPr>
        <w:t xml:space="preserve"> </w:t>
      </w:r>
    </w:p>
    <w:p w14:paraId="1E13500F" w14:textId="394F432D" w:rsidR="007C3442" w:rsidRDefault="007943BF" w:rsidP="002A5C69">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I am quite cogni</w:t>
      </w:r>
      <w:r w:rsidR="00E10B8B">
        <w:rPr>
          <w:rFonts w:ascii="Arial" w:hAnsi="Arial" w:cs="Arial"/>
          <w:sz w:val="32"/>
          <w:szCs w:val="32"/>
        </w:rPr>
        <w:t>z</w:t>
      </w:r>
      <w:r w:rsidR="007C3442">
        <w:rPr>
          <w:rFonts w:ascii="Arial" w:hAnsi="Arial" w:cs="Arial"/>
          <w:sz w:val="32"/>
          <w:szCs w:val="32"/>
        </w:rPr>
        <w:t xml:space="preserve">ant of the </w:t>
      </w:r>
      <w:proofErr w:type="gramStart"/>
      <w:r w:rsidR="007C3442">
        <w:rPr>
          <w:rFonts w:ascii="Arial" w:hAnsi="Arial" w:cs="Arial"/>
          <w:sz w:val="32"/>
          <w:szCs w:val="32"/>
        </w:rPr>
        <w:t xml:space="preserve">size </w:t>
      </w:r>
      <w:r w:rsidR="008B7BBE">
        <w:rPr>
          <w:rFonts w:ascii="Arial" w:hAnsi="Arial" w:cs="Arial"/>
          <w:sz w:val="32"/>
          <w:szCs w:val="32"/>
        </w:rPr>
        <w:t xml:space="preserve">and robustness </w:t>
      </w:r>
      <w:r w:rsidR="007C3442">
        <w:rPr>
          <w:rFonts w:ascii="Arial" w:hAnsi="Arial" w:cs="Arial"/>
          <w:sz w:val="32"/>
          <w:szCs w:val="32"/>
        </w:rPr>
        <w:t xml:space="preserve">of the </w:t>
      </w:r>
      <w:r w:rsidR="00EB3200">
        <w:rPr>
          <w:rFonts w:ascii="Arial" w:hAnsi="Arial" w:cs="Arial"/>
          <w:sz w:val="32"/>
          <w:szCs w:val="32"/>
        </w:rPr>
        <w:t>Netherlands’</w:t>
      </w:r>
      <w:r w:rsidR="007C3442">
        <w:rPr>
          <w:rFonts w:ascii="Arial" w:hAnsi="Arial" w:cs="Arial"/>
          <w:sz w:val="32"/>
          <w:szCs w:val="32"/>
        </w:rPr>
        <w:t xml:space="preserve"> defined benefit pension system</w:t>
      </w:r>
      <w:proofErr w:type="gramEnd"/>
      <w:r w:rsidR="007C3442">
        <w:rPr>
          <w:rFonts w:ascii="Arial" w:hAnsi="Arial" w:cs="Arial"/>
          <w:sz w:val="32"/>
          <w:szCs w:val="32"/>
        </w:rPr>
        <w:t xml:space="preserve"> and we </w:t>
      </w:r>
      <w:r w:rsidR="007C3442" w:rsidRPr="00364DE8">
        <w:rPr>
          <w:rFonts w:ascii="Arial" w:hAnsi="Arial" w:cs="Arial"/>
          <w:sz w:val="32"/>
          <w:szCs w:val="32"/>
          <w:u w:val="single"/>
        </w:rPr>
        <w:t>are not</w:t>
      </w:r>
      <w:r w:rsidR="007C3442">
        <w:rPr>
          <w:rFonts w:ascii="Arial" w:hAnsi="Arial" w:cs="Arial"/>
          <w:sz w:val="32"/>
          <w:szCs w:val="32"/>
        </w:rPr>
        <w:t xml:space="preserve"> saying that the FSB should be </w:t>
      </w:r>
      <w:r w:rsidR="00D8775A">
        <w:rPr>
          <w:rFonts w:ascii="Arial" w:hAnsi="Arial" w:cs="Arial"/>
          <w:sz w:val="32"/>
          <w:szCs w:val="32"/>
        </w:rPr>
        <w:lastRenderedPageBreak/>
        <w:t xml:space="preserve">striving to designate </w:t>
      </w:r>
      <w:r w:rsidR="007C3442">
        <w:rPr>
          <w:rFonts w:ascii="Arial" w:hAnsi="Arial" w:cs="Arial"/>
          <w:sz w:val="32"/>
          <w:szCs w:val="32"/>
        </w:rPr>
        <w:t>pension funds</w:t>
      </w:r>
      <w:r w:rsidR="00D8775A">
        <w:rPr>
          <w:rFonts w:ascii="Arial" w:hAnsi="Arial" w:cs="Arial"/>
          <w:sz w:val="32"/>
          <w:szCs w:val="32"/>
        </w:rPr>
        <w:t xml:space="preserve"> as systemic threats</w:t>
      </w:r>
      <w:r w:rsidR="007C3442">
        <w:rPr>
          <w:rFonts w:ascii="Arial" w:hAnsi="Arial" w:cs="Arial"/>
          <w:sz w:val="32"/>
          <w:szCs w:val="32"/>
        </w:rPr>
        <w:t>.</w:t>
      </w:r>
      <w:r w:rsidR="009368F5">
        <w:rPr>
          <w:rFonts w:ascii="Arial" w:hAnsi="Arial" w:cs="Arial"/>
          <w:sz w:val="32"/>
          <w:szCs w:val="32"/>
        </w:rPr>
        <w:t xml:space="preserve"> </w:t>
      </w:r>
      <w:r w:rsidR="00EB3200">
        <w:rPr>
          <w:rFonts w:ascii="Arial" w:hAnsi="Arial" w:cs="Arial"/>
          <w:sz w:val="32"/>
          <w:szCs w:val="32"/>
        </w:rPr>
        <w:t xml:space="preserve"> </w:t>
      </w:r>
    </w:p>
    <w:p w14:paraId="01615372" w14:textId="77777777" w:rsidR="00C453BD" w:rsidRDefault="007C3442" w:rsidP="00CA74D4">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 xml:space="preserve">I am only </w:t>
      </w:r>
      <w:r w:rsidR="00947A93">
        <w:rPr>
          <w:rFonts w:ascii="Arial" w:hAnsi="Arial" w:cs="Arial"/>
          <w:sz w:val="32"/>
          <w:szCs w:val="32"/>
        </w:rPr>
        <w:t>pointing out the FSB’s exclusion of such funds</w:t>
      </w:r>
      <w:r>
        <w:rPr>
          <w:rFonts w:ascii="Arial" w:hAnsi="Arial" w:cs="Arial"/>
          <w:sz w:val="32"/>
          <w:szCs w:val="32"/>
        </w:rPr>
        <w:t xml:space="preserve"> because it highlights the </w:t>
      </w:r>
      <w:r w:rsidR="00471243">
        <w:rPr>
          <w:rFonts w:ascii="Arial" w:hAnsi="Arial" w:cs="Arial"/>
          <w:sz w:val="32"/>
          <w:szCs w:val="32"/>
        </w:rPr>
        <w:t>confusing and nonsensical</w:t>
      </w:r>
      <w:r w:rsidR="00947A93">
        <w:rPr>
          <w:rFonts w:ascii="Arial" w:hAnsi="Arial" w:cs="Arial"/>
          <w:sz w:val="32"/>
          <w:szCs w:val="32"/>
        </w:rPr>
        <w:t xml:space="preserve"> nature of</w:t>
      </w:r>
      <w:r>
        <w:rPr>
          <w:rFonts w:ascii="Arial" w:hAnsi="Arial" w:cs="Arial"/>
          <w:sz w:val="32"/>
          <w:szCs w:val="32"/>
        </w:rPr>
        <w:t xml:space="preserve"> the FSB’s </w:t>
      </w:r>
      <w:r w:rsidR="00947A93">
        <w:rPr>
          <w:rFonts w:ascii="Arial" w:hAnsi="Arial" w:cs="Arial"/>
          <w:sz w:val="32"/>
          <w:szCs w:val="32"/>
        </w:rPr>
        <w:t>proposed criteria</w:t>
      </w:r>
      <w:r w:rsidR="00CA74D4">
        <w:rPr>
          <w:rFonts w:ascii="Arial" w:hAnsi="Arial" w:cs="Arial"/>
          <w:sz w:val="32"/>
          <w:szCs w:val="32"/>
        </w:rPr>
        <w:t xml:space="preserve"> for designation</w:t>
      </w:r>
      <w:r w:rsidR="00C453BD">
        <w:rPr>
          <w:rFonts w:ascii="Arial" w:hAnsi="Arial" w:cs="Arial"/>
          <w:sz w:val="32"/>
          <w:szCs w:val="32"/>
        </w:rPr>
        <w:t>.</w:t>
      </w:r>
    </w:p>
    <w:p w14:paraId="73995708" w14:textId="6D12F9F9" w:rsidR="00C47E06" w:rsidRDefault="002C2303" w:rsidP="00CA74D4">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In</w:t>
      </w:r>
      <w:r w:rsidR="008527A5">
        <w:rPr>
          <w:rFonts w:ascii="Arial" w:hAnsi="Arial" w:cs="Arial"/>
          <w:sz w:val="32"/>
          <w:szCs w:val="32"/>
        </w:rPr>
        <w:t xml:space="preserve"> another confusing move, the FSB’s </w:t>
      </w:r>
      <w:r w:rsidR="008527A5" w:rsidRPr="00286992">
        <w:rPr>
          <w:rFonts w:ascii="Arial" w:hAnsi="Arial" w:cs="Arial"/>
          <w:sz w:val="32"/>
          <w:szCs w:val="32"/>
        </w:rPr>
        <w:t xml:space="preserve">second consultation </w:t>
      </w:r>
      <w:r w:rsidR="008527A5" w:rsidRPr="00286992">
        <w:rPr>
          <w:rFonts w:ascii="Arial" w:hAnsi="Arial" w:cs="Arial"/>
          <w:sz w:val="32"/>
          <w:szCs w:val="32"/>
          <w:u w:val="single"/>
        </w:rPr>
        <w:t>adds</w:t>
      </w:r>
      <w:r w:rsidR="008527A5" w:rsidRPr="00286992">
        <w:rPr>
          <w:rFonts w:ascii="Arial" w:hAnsi="Arial" w:cs="Arial"/>
          <w:sz w:val="32"/>
          <w:szCs w:val="32"/>
        </w:rPr>
        <w:t xml:space="preserve"> a methodology for asset managers</w:t>
      </w:r>
      <w:r w:rsidR="00C65BF9">
        <w:rPr>
          <w:rFonts w:ascii="Arial" w:hAnsi="Arial" w:cs="Arial"/>
          <w:sz w:val="32"/>
          <w:szCs w:val="32"/>
        </w:rPr>
        <w:t>, which also places undue emphasis on size</w:t>
      </w:r>
      <w:r w:rsidR="00884293">
        <w:rPr>
          <w:rFonts w:ascii="Arial" w:hAnsi="Arial" w:cs="Arial"/>
          <w:sz w:val="32"/>
          <w:szCs w:val="32"/>
        </w:rPr>
        <w:t>.</w:t>
      </w:r>
    </w:p>
    <w:p w14:paraId="6C698D0A" w14:textId="43C6D8CE" w:rsidR="00EA1C4E" w:rsidRDefault="00EA1C4E" w:rsidP="00EA1C4E">
      <w:pPr>
        <w:autoSpaceDE w:val="0"/>
        <w:autoSpaceDN w:val="0"/>
        <w:adjustRightInd w:val="0"/>
        <w:ind w:left="2160"/>
        <w:rPr>
          <w:rFonts w:ascii="Arial" w:hAnsi="Arial" w:cs="Arial"/>
        </w:rPr>
      </w:pPr>
      <w:r>
        <w:rPr>
          <w:rFonts w:ascii="Arial" w:hAnsi="Arial" w:cs="Arial"/>
        </w:rPr>
        <w:t>The consultation proposes a materiality threshold for asset managers, possibly based entirely on the amount of assets under management</w:t>
      </w:r>
      <w:proofErr w:type="gramStart"/>
      <w:r>
        <w:rPr>
          <w:rFonts w:ascii="Arial" w:hAnsi="Arial" w:cs="Arial"/>
        </w:rPr>
        <w:t xml:space="preserve">.  </w:t>
      </w:r>
      <w:proofErr w:type="gramEnd"/>
      <w:r>
        <w:rPr>
          <w:rFonts w:ascii="Arial" w:hAnsi="Arial" w:cs="Arial"/>
        </w:rPr>
        <w:t xml:space="preserve">This would have the effect of sweeping large asset managers into the designation net, </w:t>
      </w:r>
      <w:r w:rsidR="002C2303">
        <w:rPr>
          <w:rFonts w:ascii="Arial" w:hAnsi="Arial" w:cs="Arial"/>
        </w:rPr>
        <w:t>almost all of</w:t>
      </w:r>
      <w:r>
        <w:rPr>
          <w:rFonts w:ascii="Arial" w:hAnsi="Arial" w:cs="Arial"/>
        </w:rPr>
        <w:t xml:space="preserve"> which would be solely based in the United States. </w:t>
      </w:r>
    </w:p>
    <w:p w14:paraId="0821E820" w14:textId="7C10E77A" w:rsidR="006600CC" w:rsidRDefault="006600CC" w:rsidP="00235FF2">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The inclusion of asset managers i</w:t>
      </w:r>
      <w:r w:rsidR="008E2405">
        <w:rPr>
          <w:rFonts w:ascii="Arial" w:hAnsi="Arial" w:cs="Arial"/>
          <w:sz w:val="32"/>
          <w:szCs w:val="32"/>
        </w:rPr>
        <w:t>s</w:t>
      </w:r>
      <w:r>
        <w:rPr>
          <w:rFonts w:ascii="Arial" w:hAnsi="Arial" w:cs="Arial"/>
          <w:sz w:val="32"/>
          <w:szCs w:val="32"/>
        </w:rPr>
        <w:t xml:space="preserve"> </w:t>
      </w:r>
      <w:r w:rsidR="004C3A87">
        <w:rPr>
          <w:rFonts w:ascii="Arial" w:hAnsi="Arial" w:cs="Arial"/>
          <w:sz w:val="32"/>
          <w:szCs w:val="32"/>
        </w:rPr>
        <w:t>another</w:t>
      </w:r>
      <w:r>
        <w:rPr>
          <w:rFonts w:ascii="Arial" w:hAnsi="Arial" w:cs="Arial"/>
          <w:sz w:val="32"/>
          <w:szCs w:val="32"/>
        </w:rPr>
        <w:t xml:space="preserve"> fundamental flaw of the </w:t>
      </w:r>
      <w:r w:rsidR="004C3A87">
        <w:rPr>
          <w:rFonts w:ascii="Arial" w:hAnsi="Arial" w:cs="Arial"/>
          <w:sz w:val="32"/>
          <w:szCs w:val="32"/>
        </w:rPr>
        <w:t xml:space="preserve">second </w:t>
      </w:r>
      <w:r>
        <w:rPr>
          <w:rFonts w:ascii="Arial" w:hAnsi="Arial" w:cs="Arial"/>
          <w:sz w:val="32"/>
          <w:szCs w:val="32"/>
        </w:rPr>
        <w:t>consultation, because it conflicts with the FSB’s initial consultation</w:t>
      </w:r>
      <w:r w:rsidR="004C3A87">
        <w:rPr>
          <w:rFonts w:ascii="Arial" w:hAnsi="Arial" w:cs="Arial"/>
          <w:sz w:val="32"/>
          <w:szCs w:val="32"/>
        </w:rPr>
        <w:t>,</w:t>
      </w:r>
      <w:r w:rsidR="00235FF2">
        <w:rPr>
          <w:rFonts w:ascii="Arial" w:hAnsi="Arial" w:cs="Arial"/>
          <w:sz w:val="32"/>
          <w:szCs w:val="32"/>
        </w:rPr>
        <w:t xml:space="preserve"> and </w:t>
      </w:r>
      <w:r w:rsidR="008E2405">
        <w:rPr>
          <w:rFonts w:ascii="Arial" w:hAnsi="Arial" w:cs="Arial"/>
          <w:sz w:val="32"/>
          <w:szCs w:val="32"/>
        </w:rPr>
        <w:t xml:space="preserve">the FSB’s rational </w:t>
      </w:r>
      <w:r w:rsidR="002C2303">
        <w:rPr>
          <w:rFonts w:ascii="Arial" w:hAnsi="Arial" w:cs="Arial"/>
          <w:sz w:val="32"/>
          <w:szCs w:val="32"/>
        </w:rPr>
        <w:t xml:space="preserve">for including </w:t>
      </w:r>
      <w:r w:rsidR="002C2303">
        <w:rPr>
          <w:rFonts w:ascii="Arial" w:hAnsi="Arial" w:cs="Arial"/>
          <w:sz w:val="32"/>
          <w:szCs w:val="32"/>
        </w:rPr>
        <w:lastRenderedPageBreak/>
        <w:t>asset managers</w:t>
      </w:r>
      <w:r w:rsidR="008E2405">
        <w:rPr>
          <w:rFonts w:ascii="Arial" w:hAnsi="Arial" w:cs="Arial"/>
          <w:sz w:val="32"/>
          <w:szCs w:val="32"/>
        </w:rPr>
        <w:t xml:space="preserve"> is based on theoretical concerns rather than empirical evidence.</w:t>
      </w:r>
    </w:p>
    <w:p w14:paraId="6ACBE6C2" w14:textId="2377FB3C" w:rsidR="009724A2" w:rsidRPr="009724A2" w:rsidRDefault="00235FF2" w:rsidP="00235FF2">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The</w:t>
      </w:r>
      <w:r w:rsidR="009724A2" w:rsidRPr="009724A2">
        <w:rPr>
          <w:rFonts w:ascii="Arial" w:hAnsi="Arial" w:cs="Arial"/>
          <w:sz w:val="32"/>
          <w:szCs w:val="32"/>
        </w:rPr>
        <w:t xml:space="preserve"> FSB’s decision to include asset managers</w:t>
      </w:r>
      <w:r>
        <w:rPr>
          <w:rFonts w:ascii="Arial" w:hAnsi="Arial" w:cs="Arial"/>
          <w:sz w:val="32"/>
          <w:szCs w:val="32"/>
        </w:rPr>
        <w:t xml:space="preserve"> </w:t>
      </w:r>
      <w:r w:rsidR="002C2303">
        <w:rPr>
          <w:rFonts w:ascii="Arial" w:hAnsi="Arial" w:cs="Arial"/>
          <w:sz w:val="32"/>
          <w:szCs w:val="32"/>
        </w:rPr>
        <w:t>can only be described as a giant step backwards</w:t>
      </w:r>
      <w:r w:rsidR="00E21DE7">
        <w:rPr>
          <w:rFonts w:ascii="Arial" w:hAnsi="Arial" w:cs="Arial"/>
          <w:sz w:val="32"/>
          <w:szCs w:val="32"/>
        </w:rPr>
        <w:t xml:space="preserve">, </w:t>
      </w:r>
      <w:r w:rsidR="002C2303">
        <w:rPr>
          <w:rFonts w:ascii="Arial" w:hAnsi="Arial" w:cs="Arial"/>
          <w:sz w:val="32"/>
          <w:szCs w:val="32"/>
        </w:rPr>
        <w:t>because it</w:t>
      </w:r>
      <w:r>
        <w:rPr>
          <w:rFonts w:ascii="Arial" w:hAnsi="Arial" w:cs="Arial"/>
          <w:sz w:val="32"/>
          <w:szCs w:val="32"/>
        </w:rPr>
        <w:t xml:space="preserve"> </w:t>
      </w:r>
      <w:r w:rsidR="009724A2" w:rsidRPr="009724A2">
        <w:rPr>
          <w:rFonts w:ascii="Arial" w:hAnsi="Arial" w:cs="Arial"/>
          <w:sz w:val="32"/>
          <w:szCs w:val="32"/>
        </w:rPr>
        <w:t xml:space="preserve">departs from the FSB’s reasoned decision in the </w:t>
      </w:r>
      <w:r w:rsidR="009724A2">
        <w:rPr>
          <w:rFonts w:ascii="Arial" w:hAnsi="Arial" w:cs="Arial"/>
          <w:sz w:val="32"/>
          <w:szCs w:val="32"/>
        </w:rPr>
        <w:t>i</w:t>
      </w:r>
      <w:r w:rsidR="009724A2" w:rsidRPr="009724A2">
        <w:rPr>
          <w:rFonts w:ascii="Arial" w:hAnsi="Arial" w:cs="Arial"/>
          <w:sz w:val="32"/>
          <w:szCs w:val="32"/>
        </w:rPr>
        <w:t xml:space="preserve">nitial </w:t>
      </w:r>
      <w:r w:rsidR="009724A2">
        <w:rPr>
          <w:rFonts w:ascii="Arial" w:hAnsi="Arial" w:cs="Arial"/>
          <w:sz w:val="32"/>
          <w:szCs w:val="32"/>
        </w:rPr>
        <w:t>c</w:t>
      </w:r>
      <w:r w:rsidR="009724A2" w:rsidRPr="009724A2">
        <w:rPr>
          <w:rFonts w:ascii="Arial" w:hAnsi="Arial" w:cs="Arial"/>
          <w:sz w:val="32"/>
          <w:szCs w:val="32"/>
        </w:rPr>
        <w:t>onsultation to focus on individual investment funds.</w:t>
      </w:r>
    </w:p>
    <w:p w14:paraId="048004F7" w14:textId="5DE74496" w:rsidR="009724A2" w:rsidRDefault="006D672E" w:rsidP="009724A2">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Moreover</w:t>
      </w:r>
      <w:r w:rsidR="00235FF2">
        <w:rPr>
          <w:rFonts w:ascii="Arial" w:hAnsi="Arial" w:cs="Arial"/>
          <w:sz w:val="32"/>
          <w:szCs w:val="32"/>
        </w:rPr>
        <w:t xml:space="preserve">, </w:t>
      </w:r>
      <w:r>
        <w:rPr>
          <w:rFonts w:ascii="Arial" w:hAnsi="Arial" w:cs="Arial"/>
          <w:sz w:val="32"/>
          <w:szCs w:val="32"/>
        </w:rPr>
        <w:t xml:space="preserve">the FSB </w:t>
      </w:r>
      <w:r w:rsidR="002C2303">
        <w:rPr>
          <w:rFonts w:ascii="Arial" w:hAnsi="Arial" w:cs="Arial"/>
          <w:sz w:val="32"/>
          <w:szCs w:val="32"/>
        </w:rPr>
        <w:t xml:space="preserve">actually </w:t>
      </w:r>
      <w:r>
        <w:rPr>
          <w:rFonts w:ascii="Arial" w:hAnsi="Arial" w:cs="Arial"/>
          <w:sz w:val="32"/>
          <w:szCs w:val="32"/>
        </w:rPr>
        <w:t>admits in its</w:t>
      </w:r>
      <w:r w:rsidR="009724A2" w:rsidRPr="009724A2">
        <w:rPr>
          <w:rFonts w:ascii="Arial" w:hAnsi="Arial" w:cs="Arial"/>
          <w:sz w:val="32"/>
          <w:szCs w:val="32"/>
        </w:rPr>
        <w:t xml:space="preserve"> </w:t>
      </w:r>
      <w:r w:rsidR="009724A2">
        <w:rPr>
          <w:rFonts w:ascii="Arial" w:hAnsi="Arial" w:cs="Arial"/>
          <w:sz w:val="32"/>
          <w:szCs w:val="32"/>
        </w:rPr>
        <w:t>s</w:t>
      </w:r>
      <w:r w:rsidR="009724A2" w:rsidRPr="009724A2">
        <w:rPr>
          <w:rFonts w:ascii="Arial" w:hAnsi="Arial" w:cs="Arial"/>
          <w:sz w:val="32"/>
          <w:szCs w:val="32"/>
        </w:rPr>
        <w:t xml:space="preserve">econd </w:t>
      </w:r>
      <w:r w:rsidR="009724A2">
        <w:rPr>
          <w:rFonts w:ascii="Arial" w:hAnsi="Arial" w:cs="Arial"/>
          <w:sz w:val="32"/>
          <w:szCs w:val="32"/>
        </w:rPr>
        <w:t>c</w:t>
      </w:r>
      <w:r w:rsidR="009724A2" w:rsidRPr="009724A2">
        <w:rPr>
          <w:rFonts w:ascii="Arial" w:hAnsi="Arial" w:cs="Arial"/>
          <w:sz w:val="32"/>
          <w:szCs w:val="32"/>
        </w:rPr>
        <w:t xml:space="preserve">onsultation </w:t>
      </w:r>
      <w:r>
        <w:rPr>
          <w:rFonts w:ascii="Arial" w:hAnsi="Arial" w:cs="Arial"/>
          <w:sz w:val="32"/>
          <w:szCs w:val="32"/>
        </w:rPr>
        <w:t xml:space="preserve">that adding </w:t>
      </w:r>
      <w:r w:rsidR="009724A2" w:rsidRPr="009724A2">
        <w:rPr>
          <w:rFonts w:ascii="Arial" w:hAnsi="Arial" w:cs="Arial"/>
          <w:sz w:val="32"/>
          <w:szCs w:val="32"/>
        </w:rPr>
        <w:t xml:space="preserve">an asset manager methodology conflicts with the comment record, including </w:t>
      </w:r>
      <w:r w:rsidR="009724A2">
        <w:rPr>
          <w:rFonts w:ascii="Arial" w:hAnsi="Arial" w:cs="Arial"/>
          <w:sz w:val="32"/>
          <w:szCs w:val="32"/>
        </w:rPr>
        <w:t xml:space="preserve">comments submitted by ICI and ICI Global. </w:t>
      </w:r>
    </w:p>
    <w:p w14:paraId="4F9A9A58" w14:textId="6C689282" w:rsidR="00B211A2" w:rsidRPr="00EA1C4E" w:rsidRDefault="00EA1C4E" w:rsidP="00EA1C4E">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 xml:space="preserve">Despite this acknowledgement, however, the FSB proposes a methodology for asset managers, based on </w:t>
      </w:r>
      <w:r w:rsidR="00CB3597" w:rsidRPr="00CB3597">
        <w:rPr>
          <w:rFonts w:ascii="Arial" w:hAnsi="Arial" w:cs="Arial"/>
          <w:sz w:val="32"/>
          <w:szCs w:val="32"/>
        </w:rPr>
        <w:t>concern</w:t>
      </w:r>
      <w:r>
        <w:rPr>
          <w:rFonts w:ascii="Arial" w:hAnsi="Arial" w:cs="Arial"/>
          <w:sz w:val="32"/>
          <w:szCs w:val="32"/>
        </w:rPr>
        <w:t>s</w:t>
      </w:r>
      <w:r w:rsidR="00CB3597" w:rsidRPr="00CB3597">
        <w:rPr>
          <w:rFonts w:ascii="Arial" w:hAnsi="Arial" w:cs="Arial"/>
          <w:sz w:val="32"/>
          <w:szCs w:val="32"/>
        </w:rPr>
        <w:t xml:space="preserve"> that an asset manager facing </w:t>
      </w:r>
      <w:r w:rsidR="00CB3597" w:rsidRPr="00EA1C4E">
        <w:rPr>
          <w:rFonts w:ascii="Arial" w:hAnsi="Arial" w:cs="Arial"/>
          <w:sz w:val="32"/>
          <w:szCs w:val="32"/>
        </w:rPr>
        <w:t>“distress or forced failure</w:t>
      </w:r>
      <w:r w:rsidR="004C3A87">
        <w:rPr>
          <w:rFonts w:ascii="Arial" w:hAnsi="Arial" w:cs="Arial"/>
          <w:sz w:val="32"/>
          <w:szCs w:val="32"/>
        </w:rPr>
        <w:t>”</w:t>
      </w:r>
      <w:r w:rsidR="00CB3597" w:rsidRPr="00EA1C4E">
        <w:rPr>
          <w:rFonts w:ascii="Arial" w:hAnsi="Arial" w:cs="Arial"/>
          <w:sz w:val="32"/>
          <w:szCs w:val="32"/>
        </w:rPr>
        <w:t xml:space="preserve"> could “potentially cause or amplify significant disruption to the global financial system.”</w:t>
      </w:r>
    </w:p>
    <w:p w14:paraId="0C93BB09" w14:textId="4CEDEE22" w:rsidR="00EA1C4E" w:rsidRDefault="00EA1C4E" w:rsidP="00EA1C4E">
      <w:pPr>
        <w:pStyle w:val="NormalWeb"/>
        <w:spacing w:before="0" w:beforeAutospacing="0" w:after="360" w:afterAutospacing="0" w:line="360" w:lineRule="auto"/>
        <w:ind w:left="2160"/>
        <w:rPr>
          <w:rFonts w:ascii="Arial" w:hAnsi="Arial" w:cs="Arial"/>
          <w:sz w:val="32"/>
          <w:szCs w:val="32"/>
        </w:rPr>
      </w:pPr>
      <w:r w:rsidRPr="00EA1C4E">
        <w:rPr>
          <w:rFonts w:ascii="Arial" w:hAnsi="Arial" w:cs="Arial"/>
          <w:sz w:val="32"/>
          <w:szCs w:val="32"/>
        </w:rPr>
        <w:t xml:space="preserve">Yet there is no </w:t>
      </w:r>
      <w:r w:rsidR="008E2405">
        <w:rPr>
          <w:rFonts w:ascii="Arial" w:hAnsi="Arial" w:cs="Arial"/>
          <w:sz w:val="32"/>
          <w:szCs w:val="32"/>
        </w:rPr>
        <w:t>rationale for this concern</w:t>
      </w:r>
      <w:proofErr w:type="gramStart"/>
      <w:r w:rsidR="008E2405">
        <w:rPr>
          <w:rFonts w:ascii="Arial" w:hAnsi="Arial" w:cs="Arial"/>
          <w:sz w:val="32"/>
          <w:szCs w:val="32"/>
        </w:rPr>
        <w:t xml:space="preserve">. </w:t>
      </w:r>
      <w:r w:rsidR="00E21DE7">
        <w:rPr>
          <w:rFonts w:ascii="Arial" w:hAnsi="Arial" w:cs="Arial"/>
          <w:sz w:val="32"/>
          <w:szCs w:val="32"/>
        </w:rPr>
        <w:t xml:space="preserve"> </w:t>
      </w:r>
      <w:proofErr w:type="gramEnd"/>
      <w:r w:rsidR="008E2405">
        <w:rPr>
          <w:rFonts w:ascii="Arial" w:hAnsi="Arial" w:cs="Arial"/>
          <w:sz w:val="32"/>
          <w:szCs w:val="32"/>
        </w:rPr>
        <w:t>In fact,</w:t>
      </w:r>
      <w:r w:rsidRPr="00EA1C4E">
        <w:rPr>
          <w:rFonts w:ascii="Arial" w:hAnsi="Arial" w:cs="Arial"/>
          <w:sz w:val="32"/>
          <w:szCs w:val="32"/>
        </w:rPr>
        <w:t xml:space="preserve"> ICI and ICI Global </w:t>
      </w:r>
      <w:r w:rsidR="002C2303">
        <w:rPr>
          <w:rFonts w:ascii="Arial" w:hAnsi="Arial" w:cs="Arial"/>
          <w:sz w:val="32"/>
          <w:szCs w:val="32"/>
        </w:rPr>
        <w:t xml:space="preserve">have compiled and </w:t>
      </w:r>
      <w:proofErr w:type="spellStart"/>
      <w:r w:rsidR="002C2303">
        <w:rPr>
          <w:rFonts w:ascii="Arial" w:hAnsi="Arial" w:cs="Arial"/>
          <w:sz w:val="32"/>
          <w:szCs w:val="32"/>
        </w:rPr>
        <w:t>analysed</w:t>
      </w:r>
      <w:proofErr w:type="spellEnd"/>
      <w:r w:rsidR="002C2303">
        <w:rPr>
          <w:rFonts w:ascii="Arial" w:hAnsi="Arial" w:cs="Arial"/>
          <w:sz w:val="32"/>
          <w:szCs w:val="32"/>
        </w:rPr>
        <w:t xml:space="preserve"> an extensive amount of data on the matter, and we </w:t>
      </w:r>
      <w:r w:rsidRPr="00EA1C4E">
        <w:rPr>
          <w:rFonts w:ascii="Arial" w:hAnsi="Arial" w:cs="Arial"/>
          <w:sz w:val="32"/>
          <w:szCs w:val="32"/>
        </w:rPr>
        <w:lastRenderedPageBreak/>
        <w:t>do not know of any instances of this occurring in the case of managers of regulated funds.</w:t>
      </w:r>
    </w:p>
    <w:p w14:paraId="47AC9401" w14:textId="71510A31" w:rsidR="00D43768" w:rsidRDefault="002C2303" w:rsidP="002C2303">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 xml:space="preserve">The third fundamental flaw in the second consultation is that </w:t>
      </w:r>
      <w:r w:rsidR="00CA74D4" w:rsidRPr="00CA74D4">
        <w:rPr>
          <w:rFonts w:ascii="Arial" w:hAnsi="Arial" w:cs="Arial"/>
          <w:sz w:val="32"/>
          <w:szCs w:val="32"/>
        </w:rPr>
        <w:t xml:space="preserve">the FSB </w:t>
      </w:r>
      <w:r w:rsidR="00D43768">
        <w:rPr>
          <w:rFonts w:ascii="Arial" w:hAnsi="Arial" w:cs="Arial"/>
          <w:sz w:val="32"/>
          <w:szCs w:val="32"/>
        </w:rPr>
        <w:t>is following a “foolish consistency” in designing its methodology.</w:t>
      </w:r>
      <w:r w:rsidR="00EB3200">
        <w:rPr>
          <w:rFonts w:ascii="Arial" w:hAnsi="Arial" w:cs="Arial"/>
          <w:sz w:val="32"/>
          <w:szCs w:val="32"/>
        </w:rPr>
        <w:t xml:space="preserve">  </w:t>
      </w:r>
    </w:p>
    <w:p w14:paraId="3446781F" w14:textId="772FB1CF" w:rsidR="004252D8" w:rsidRDefault="004252D8" w:rsidP="00471243">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Now what do I mean by “foolish consistency</w:t>
      </w:r>
      <w:r w:rsidR="00471243">
        <w:rPr>
          <w:rFonts w:ascii="Arial" w:hAnsi="Arial" w:cs="Arial"/>
          <w:sz w:val="32"/>
          <w:szCs w:val="32"/>
        </w:rPr>
        <w:t>?</w:t>
      </w:r>
      <w:r>
        <w:rPr>
          <w:rFonts w:ascii="Arial" w:hAnsi="Arial" w:cs="Arial"/>
          <w:sz w:val="32"/>
          <w:szCs w:val="32"/>
        </w:rPr>
        <w:t>”</w:t>
      </w:r>
      <w:r w:rsidR="009368F5">
        <w:rPr>
          <w:rFonts w:ascii="Arial" w:hAnsi="Arial" w:cs="Arial"/>
          <w:sz w:val="32"/>
          <w:szCs w:val="32"/>
        </w:rPr>
        <w:t xml:space="preserve"> </w:t>
      </w:r>
      <w:r w:rsidR="00EB3200">
        <w:rPr>
          <w:rFonts w:ascii="Arial" w:hAnsi="Arial" w:cs="Arial"/>
          <w:sz w:val="32"/>
          <w:szCs w:val="32"/>
        </w:rPr>
        <w:t xml:space="preserve"> </w:t>
      </w:r>
    </w:p>
    <w:p w14:paraId="097AAC3B" w14:textId="7BC5382C" w:rsidR="00CA74D4" w:rsidRDefault="00D43768" w:rsidP="00471243">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 xml:space="preserve">The FSB continues to insist that methodologies for funds and their managers should be broadly consistent </w:t>
      </w:r>
      <w:r w:rsidR="00CA74D4" w:rsidRPr="00CA74D4">
        <w:rPr>
          <w:rFonts w:ascii="Arial" w:hAnsi="Arial" w:cs="Arial"/>
          <w:sz w:val="32"/>
          <w:szCs w:val="32"/>
        </w:rPr>
        <w:t>with standards applied to G-SIFI banks and insurers</w:t>
      </w:r>
      <w:r w:rsidR="00CA74D4">
        <w:rPr>
          <w:rFonts w:ascii="Arial" w:hAnsi="Arial" w:cs="Arial"/>
          <w:sz w:val="32"/>
          <w:szCs w:val="32"/>
        </w:rPr>
        <w:t>.</w:t>
      </w:r>
      <w:r w:rsidR="00EB3200">
        <w:rPr>
          <w:rFonts w:ascii="Arial" w:hAnsi="Arial" w:cs="Arial"/>
          <w:sz w:val="32"/>
          <w:szCs w:val="32"/>
        </w:rPr>
        <w:t xml:space="preserve">  </w:t>
      </w:r>
    </w:p>
    <w:p w14:paraId="4AFB23A1" w14:textId="5808F86D" w:rsidR="00D43768" w:rsidRDefault="00471243" w:rsidP="00D43768">
      <w:pPr>
        <w:pStyle w:val="NormalWeb"/>
        <w:spacing w:before="0" w:beforeAutospacing="0" w:after="360" w:afterAutospacing="0" w:line="360" w:lineRule="auto"/>
        <w:ind w:left="2160"/>
        <w:rPr>
          <w:rFonts w:ascii="Arial" w:hAnsi="Arial" w:cs="Arial"/>
          <w:sz w:val="32"/>
          <w:szCs w:val="32"/>
        </w:rPr>
      </w:pPr>
      <w:r>
        <w:rPr>
          <w:rFonts w:ascii="Arial" w:hAnsi="Arial" w:cs="Arial"/>
          <w:sz w:val="32"/>
          <w:szCs w:val="32"/>
        </w:rPr>
        <w:t>Yet a</w:t>
      </w:r>
      <w:r w:rsidR="00D43768">
        <w:rPr>
          <w:rFonts w:ascii="Arial" w:hAnsi="Arial" w:cs="Arial"/>
          <w:sz w:val="32"/>
          <w:szCs w:val="32"/>
        </w:rPr>
        <w:t>ligning standards and remedies for regulated funds and their managers with those in banking is a “foolish consistency” because it discounts the fundamental differences between asset management and banking.</w:t>
      </w:r>
      <w:r w:rsidR="00EB3200">
        <w:rPr>
          <w:rFonts w:ascii="Arial" w:hAnsi="Arial" w:cs="Arial"/>
          <w:sz w:val="32"/>
          <w:szCs w:val="32"/>
        </w:rPr>
        <w:t xml:space="preserve">  </w:t>
      </w:r>
    </w:p>
    <w:p w14:paraId="2C7072E4" w14:textId="75739957" w:rsidR="000F70A9" w:rsidRPr="00A555D1" w:rsidRDefault="00D43768" w:rsidP="000F70A9">
      <w:pPr>
        <w:pStyle w:val="Default"/>
        <w:spacing w:after="360" w:line="360" w:lineRule="auto"/>
        <w:ind w:left="2160"/>
        <w:rPr>
          <w:color w:val="auto"/>
          <w:sz w:val="32"/>
          <w:szCs w:val="32"/>
          <w:shd w:val="clear" w:color="auto" w:fill="FFFFFF"/>
        </w:rPr>
      </w:pPr>
      <w:r>
        <w:rPr>
          <w:sz w:val="32"/>
          <w:szCs w:val="32"/>
        </w:rPr>
        <w:t>Asset managers are not banks</w:t>
      </w:r>
      <w:proofErr w:type="gramStart"/>
      <w:r>
        <w:rPr>
          <w:sz w:val="32"/>
          <w:szCs w:val="32"/>
        </w:rPr>
        <w:t>.</w:t>
      </w:r>
      <w:r w:rsidR="009368F5">
        <w:rPr>
          <w:sz w:val="32"/>
          <w:szCs w:val="32"/>
        </w:rPr>
        <w:t xml:space="preserve"> </w:t>
      </w:r>
      <w:r w:rsidR="00EB3200">
        <w:rPr>
          <w:sz w:val="32"/>
          <w:szCs w:val="32"/>
        </w:rPr>
        <w:t xml:space="preserve"> </w:t>
      </w:r>
      <w:proofErr w:type="gramEnd"/>
      <w:r w:rsidR="000F70A9">
        <w:rPr>
          <w:color w:val="auto"/>
          <w:sz w:val="32"/>
          <w:szCs w:val="32"/>
          <w:shd w:val="clear" w:color="auto" w:fill="FFFFFF"/>
        </w:rPr>
        <w:t xml:space="preserve">First, </w:t>
      </w:r>
      <w:r w:rsidR="000F70A9" w:rsidRPr="00D62BB4">
        <w:rPr>
          <w:color w:val="auto"/>
          <w:sz w:val="32"/>
          <w:szCs w:val="32"/>
          <w:shd w:val="clear" w:color="auto" w:fill="FFFFFF"/>
        </w:rPr>
        <w:t>f</w:t>
      </w:r>
      <w:r w:rsidR="000F70A9" w:rsidRPr="00A555D1">
        <w:rPr>
          <w:color w:val="auto"/>
          <w:sz w:val="32"/>
          <w:szCs w:val="32"/>
          <w:shd w:val="clear" w:color="auto" w:fill="FFFFFF"/>
        </w:rPr>
        <w:t>und managers act as agents</w:t>
      </w:r>
      <w:proofErr w:type="gramStart"/>
      <w:r w:rsidR="000F70A9">
        <w:rPr>
          <w:color w:val="auto"/>
          <w:sz w:val="32"/>
          <w:szCs w:val="32"/>
          <w:shd w:val="clear" w:color="auto" w:fill="FFFFFF"/>
        </w:rPr>
        <w:t>.</w:t>
      </w:r>
      <w:r w:rsidR="009368F5">
        <w:rPr>
          <w:color w:val="auto"/>
          <w:sz w:val="32"/>
          <w:szCs w:val="32"/>
          <w:shd w:val="clear" w:color="auto" w:fill="FFFFFF"/>
        </w:rPr>
        <w:t xml:space="preserve"> </w:t>
      </w:r>
      <w:r w:rsidR="00EB3200">
        <w:rPr>
          <w:color w:val="auto"/>
          <w:sz w:val="32"/>
          <w:szCs w:val="32"/>
          <w:shd w:val="clear" w:color="auto" w:fill="FFFFFF"/>
        </w:rPr>
        <w:t xml:space="preserve"> </w:t>
      </w:r>
      <w:proofErr w:type="gramEnd"/>
      <w:r w:rsidR="000F70A9">
        <w:rPr>
          <w:color w:val="auto"/>
          <w:sz w:val="32"/>
          <w:szCs w:val="32"/>
          <w:shd w:val="clear" w:color="auto" w:fill="FFFFFF"/>
        </w:rPr>
        <w:t>They</w:t>
      </w:r>
      <w:r w:rsidR="000F70A9" w:rsidRPr="00A555D1">
        <w:rPr>
          <w:color w:val="auto"/>
          <w:sz w:val="32"/>
          <w:szCs w:val="32"/>
          <w:shd w:val="clear" w:color="auto" w:fill="FFFFFF"/>
        </w:rPr>
        <w:t xml:space="preserve"> invest</w:t>
      </w:r>
      <w:r w:rsidR="000F70A9">
        <w:rPr>
          <w:color w:val="auto"/>
          <w:sz w:val="32"/>
          <w:szCs w:val="32"/>
          <w:shd w:val="clear" w:color="auto" w:fill="FFFFFF"/>
        </w:rPr>
        <w:t xml:space="preserve"> on behalf of their clients</w:t>
      </w:r>
      <w:r w:rsidR="000F70A9" w:rsidRPr="00A555D1">
        <w:rPr>
          <w:color w:val="auto"/>
          <w:sz w:val="32"/>
          <w:szCs w:val="32"/>
          <w:shd w:val="clear" w:color="auto" w:fill="FFFFFF"/>
        </w:rPr>
        <w:t xml:space="preserve"> </w:t>
      </w:r>
      <w:r w:rsidR="000F70A9">
        <w:rPr>
          <w:color w:val="auto"/>
          <w:sz w:val="32"/>
          <w:szCs w:val="32"/>
          <w:shd w:val="clear" w:color="auto" w:fill="FFFFFF"/>
        </w:rPr>
        <w:t>and leave all the risk to the end investors</w:t>
      </w:r>
      <w:proofErr w:type="gramStart"/>
      <w:r w:rsidR="000F70A9">
        <w:rPr>
          <w:color w:val="auto"/>
          <w:sz w:val="32"/>
          <w:szCs w:val="32"/>
          <w:shd w:val="clear" w:color="auto" w:fill="FFFFFF"/>
        </w:rPr>
        <w:t>.</w:t>
      </w:r>
      <w:r w:rsidR="00867CF5">
        <w:rPr>
          <w:color w:val="auto"/>
          <w:sz w:val="32"/>
          <w:szCs w:val="32"/>
          <w:shd w:val="clear" w:color="auto" w:fill="FFFFFF"/>
        </w:rPr>
        <w:t xml:space="preserve">  </w:t>
      </w:r>
      <w:r w:rsidR="000F70A9" w:rsidRPr="00D62BB4">
        <w:rPr>
          <w:color w:val="auto"/>
          <w:sz w:val="32"/>
          <w:szCs w:val="32"/>
          <w:shd w:val="clear" w:color="auto" w:fill="FFFFFF"/>
        </w:rPr>
        <w:t>W</w:t>
      </w:r>
      <w:r w:rsidR="000F70A9" w:rsidRPr="00A555D1">
        <w:rPr>
          <w:color w:val="auto"/>
          <w:sz w:val="32"/>
          <w:szCs w:val="32"/>
          <w:shd w:val="clear" w:color="auto" w:fill="FFFFFF"/>
        </w:rPr>
        <w:t>hereas banks</w:t>
      </w:r>
      <w:r w:rsidR="000F70A9">
        <w:rPr>
          <w:color w:val="auto"/>
          <w:sz w:val="32"/>
          <w:szCs w:val="32"/>
          <w:shd w:val="clear" w:color="auto" w:fill="FFFFFF"/>
        </w:rPr>
        <w:t xml:space="preserve"> invest for their own </w:t>
      </w:r>
      <w:r w:rsidR="000F70A9">
        <w:rPr>
          <w:color w:val="auto"/>
          <w:sz w:val="32"/>
          <w:szCs w:val="32"/>
          <w:shd w:val="clear" w:color="auto" w:fill="FFFFFF"/>
        </w:rPr>
        <w:lastRenderedPageBreak/>
        <w:t>accounts as principals</w:t>
      </w:r>
      <w:r w:rsidR="000F70A9" w:rsidRPr="00A555D1">
        <w:rPr>
          <w:color w:val="auto"/>
          <w:sz w:val="32"/>
          <w:szCs w:val="32"/>
          <w:shd w:val="clear" w:color="auto" w:fill="FFFFFF"/>
        </w:rPr>
        <w:t xml:space="preserve"> and put their own </w:t>
      </w:r>
      <w:r w:rsidR="000F70A9">
        <w:rPr>
          <w:color w:val="auto"/>
          <w:sz w:val="32"/>
          <w:szCs w:val="32"/>
          <w:shd w:val="clear" w:color="auto" w:fill="FFFFFF"/>
        </w:rPr>
        <w:t>capital</w:t>
      </w:r>
      <w:r w:rsidR="000F70A9" w:rsidRPr="00A555D1">
        <w:rPr>
          <w:color w:val="auto"/>
          <w:sz w:val="32"/>
          <w:szCs w:val="32"/>
          <w:shd w:val="clear" w:color="auto" w:fill="FFFFFF"/>
        </w:rPr>
        <w:t xml:space="preserve"> at risk.</w:t>
      </w:r>
      <w:proofErr w:type="gramEnd"/>
      <w:r w:rsidR="009368F5">
        <w:rPr>
          <w:color w:val="auto"/>
          <w:sz w:val="32"/>
          <w:szCs w:val="32"/>
          <w:shd w:val="clear" w:color="auto" w:fill="FFFFFF"/>
        </w:rPr>
        <w:t xml:space="preserve"> </w:t>
      </w:r>
      <w:r w:rsidR="00EB3200">
        <w:rPr>
          <w:color w:val="auto"/>
          <w:sz w:val="32"/>
          <w:szCs w:val="32"/>
          <w:shd w:val="clear" w:color="auto" w:fill="FFFFFF"/>
        </w:rPr>
        <w:t xml:space="preserve"> </w:t>
      </w:r>
    </w:p>
    <w:p w14:paraId="70F4594F" w14:textId="69FCC8C2" w:rsidR="000F70A9" w:rsidRDefault="000F70A9" w:rsidP="000F70A9">
      <w:pPr>
        <w:pStyle w:val="Default"/>
        <w:spacing w:after="360" w:line="360" w:lineRule="auto"/>
        <w:ind w:left="2160"/>
        <w:rPr>
          <w:sz w:val="32"/>
          <w:szCs w:val="32"/>
        </w:rPr>
      </w:pPr>
      <w:r>
        <w:rPr>
          <w:sz w:val="32"/>
          <w:szCs w:val="32"/>
        </w:rPr>
        <w:t xml:space="preserve">Second, unlike banks, asset managers generally do not take on investment risks on their own balance sheet and they do </w:t>
      </w:r>
      <w:r w:rsidRPr="00531F67">
        <w:rPr>
          <w:sz w:val="32"/>
          <w:szCs w:val="32"/>
        </w:rPr>
        <w:t>not guarantee or promise a rate of return</w:t>
      </w:r>
      <w:r>
        <w:rPr>
          <w:sz w:val="32"/>
          <w:szCs w:val="32"/>
        </w:rPr>
        <w:t>.</w:t>
      </w:r>
      <w:r w:rsidR="009368F5">
        <w:rPr>
          <w:sz w:val="32"/>
          <w:szCs w:val="32"/>
        </w:rPr>
        <w:t xml:space="preserve"> </w:t>
      </w:r>
      <w:r w:rsidR="00EB3200">
        <w:rPr>
          <w:sz w:val="32"/>
          <w:szCs w:val="32"/>
        </w:rPr>
        <w:t xml:space="preserve"> </w:t>
      </w:r>
    </w:p>
    <w:p w14:paraId="10FAB272" w14:textId="44CCB2F2" w:rsidR="000F70A9" w:rsidRDefault="000F70A9" w:rsidP="000F70A9">
      <w:pPr>
        <w:pStyle w:val="Default"/>
        <w:spacing w:after="360" w:line="360" w:lineRule="auto"/>
        <w:ind w:left="2160"/>
        <w:rPr>
          <w:sz w:val="32"/>
          <w:szCs w:val="32"/>
        </w:rPr>
      </w:pPr>
      <w:r w:rsidRPr="005231F9">
        <w:rPr>
          <w:sz w:val="32"/>
          <w:szCs w:val="32"/>
        </w:rPr>
        <w:t>Third, funds use little to no leverage</w:t>
      </w:r>
      <w:r w:rsidRPr="00064F4D">
        <w:rPr>
          <w:sz w:val="32"/>
          <w:szCs w:val="32"/>
        </w:rPr>
        <w:t xml:space="preserve">, </w:t>
      </w:r>
      <w:r>
        <w:rPr>
          <w:sz w:val="32"/>
          <w:szCs w:val="32"/>
        </w:rPr>
        <w:t xml:space="preserve">unlike </w:t>
      </w:r>
      <w:proofErr w:type="gramStart"/>
      <w:r>
        <w:rPr>
          <w:sz w:val="32"/>
          <w:szCs w:val="32"/>
        </w:rPr>
        <w:t>banks which</w:t>
      </w:r>
      <w:proofErr w:type="gramEnd"/>
      <w:r>
        <w:rPr>
          <w:sz w:val="32"/>
          <w:szCs w:val="32"/>
        </w:rPr>
        <w:t xml:space="preserve"> are highly levered.</w:t>
      </w:r>
      <w:r w:rsidR="00EB3200">
        <w:rPr>
          <w:sz w:val="32"/>
          <w:szCs w:val="32"/>
        </w:rPr>
        <w:t xml:space="preserve">  </w:t>
      </w:r>
      <w:r>
        <w:rPr>
          <w:sz w:val="32"/>
          <w:szCs w:val="32"/>
        </w:rPr>
        <w:t>In fact, leverage is a core attribute of any bank</w:t>
      </w:r>
      <w:proofErr w:type="gramStart"/>
      <w:r>
        <w:rPr>
          <w:sz w:val="32"/>
          <w:szCs w:val="32"/>
        </w:rPr>
        <w:t>.</w:t>
      </w:r>
      <w:r w:rsidR="009368F5">
        <w:rPr>
          <w:sz w:val="32"/>
          <w:szCs w:val="32"/>
        </w:rPr>
        <w:t xml:space="preserve"> </w:t>
      </w:r>
      <w:r w:rsidR="00EB3200">
        <w:rPr>
          <w:sz w:val="32"/>
          <w:szCs w:val="32"/>
        </w:rPr>
        <w:t xml:space="preserve"> </w:t>
      </w:r>
      <w:proofErr w:type="gramEnd"/>
      <w:r>
        <w:rPr>
          <w:sz w:val="32"/>
          <w:szCs w:val="32"/>
        </w:rPr>
        <w:t xml:space="preserve">Whereas in a </w:t>
      </w:r>
      <w:r w:rsidR="00984D3A">
        <w:rPr>
          <w:sz w:val="32"/>
          <w:szCs w:val="32"/>
        </w:rPr>
        <w:t xml:space="preserve">US </w:t>
      </w:r>
      <w:r>
        <w:rPr>
          <w:sz w:val="32"/>
          <w:szCs w:val="32"/>
        </w:rPr>
        <w:t>mutual fund, leverage is sharply limited by law, which</w:t>
      </w:r>
      <w:r w:rsidRPr="00531F67">
        <w:rPr>
          <w:sz w:val="32"/>
          <w:szCs w:val="32"/>
        </w:rPr>
        <w:t xml:space="preserve"> reduces the leverage within the funds, and the potential amplification that a fund's </w:t>
      </w:r>
      <w:r>
        <w:rPr>
          <w:sz w:val="32"/>
          <w:szCs w:val="32"/>
        </w:rPr>
        <w:t>flows</w:t>
      </w:r>
      <w:r w:rsidRPr="00531F67">
        <w:rPr>
          <w:sz w:val="32"/>
          <w:szCs w:val="32"/>
        </w:rPr>
        <w:t xml:space="preserve"> may have on the market.</w:t>
      </w:r>
      <w:r w:rsidR="009368F5">
        <w:rPr>
          <w:sz w:val="32"/>
          <w:szCs w:val="32"/>
        </w:rPr>
        <w:t xml:space="preserve"> </w:t>
      </w:r>
      <w:r w:rsidR="00EB3200">
        <w:rPr>
          <w:sz w:val="32"/>
          <w:szCs w:val="32"/>
        </w:rPr>
        <w:t xml:space="preserve"> </w:t>
      </w:r>
    </w:p>
    <w:p w14:paraId="5721DEDD" w14:textId="77777777" w:rsidR="00C00A36" w:rsidRDefault="004252D8" w:rsidP="00EB6B17">
      <w:pPr>
        <w:pStyle w:val="Default"/>
        <w:spacing w:after="360" w:line="360" w:lineRule="auto"/>
        <w:ind w:left="2160"/>
        <w:rPr>
          <w:sz w:val="32"/>
          <w:szCs w:val="32"/>
        </w:rPr>
      </w:pPr>
      <w:r>
        <w:rPr>
          <w:sz w:val="32"/>
          <w:szCs w:val="32"/>
        </w:rPr>
        <w:t>Given these fundamental differences, it is illogical for the FSB to apply bank-like standards to asset managers and their funds</w:t>
      </w:r>
      <w:r w:rsidR="00C00A36">
        <w:rPr>
          <w:sz w:val="32"/>
          <w:szCs w:val="32"/>
        </w:rPr>
        <w:t xml:space="preserve">. </w:t>
      </w:r>
    </w:p>
    <w:p w14:paraId="598F8FD8" w14:textId="1E821F3E" w:rsidR="0035663E" w:rsidRDefault="00C00A36" w:rsidP="00EB6B17">
      <w:pPr>
        <w:pStyle w:val="Default"/>
        <w:spacing w:after="360" w:line="360" w:lineRule="auto"/>
        <w:ind w:left="2160"/>
        <w:rPr>
          <w:sz w:val="32"/>
          <w:szCs w:val="32"/>
        </w:rPr>
      </w:pPr>
      <w:r>
        <w:rPr>
          <w:sz w:val="32"/>
          <w:szCs w:val="32"/>
        </w:rPr>
        <w:t>It also</w:t>
      </w:r>
      <w:r w:rsidR="004252D8">
        <w:rPr>
          <w:sz w:val="32"/>
          <w:szCs w:val="32"/>
        </w:rPr>
        <w:t xml:space="preserve"> </w:t>
      </w:r>
      <w:r w:rsidR="0035663E">
        <w:rPr>
          <w:sz w:val="32"/>
          <w:szCs w:val="32"/>
        </w:rPr>
        <w:t>res</w:t>
      </w:r>
      <w:r w:rsidR="00EB6B17">
        <w:rPr>
          <w:sz w:val="32"/>
          <w:szCs w:val="32"/>
        </w:rPr>
        <w:t xml:space="preserve">ults in an unproductive process </w:t>
      </w:r>
      <w:r w:rsidR="0035663E">
        <w:rPr>
          <w:sz w:val="32"/>
          <w:szCs w:val="32"/>
        </w:rPr>
        <w:t>in which policymakers are focused on designating individual funds or firms</w:t>
      </w:r>
      <w:r>
        <w:rPr>
          <w:sz w:val="32"/>
          <w:szCs w:val="32"/>
        </w:rPr>
        <w:t>, which are not sources of systemic risk.</w:t>
      </w:r>
      <w:r w:rsidR="00EB3200">
        <w:rPr>
          <w:sz w:val="32"/>
          <w:szCs w:val="32"/>
        </w:rPr>
        <w:t xml:space="preserve"> </w:t>
      </w:r>
    </w:p>
    <w:p w14:paraId="484BD4DD" w14:textId="00F5614C" w:rsidR="004A0AB8" w:rsidRPr="004A0AB8" w:rsidRDefault="004A0AB8" w:rsidP="004A0AB8">
      <w:pPr>
        <w:pStyle w:val="Default"/>
        <w:spacing w:after="360" w:line="360" w:lineRule="auto"/>
        <w:ind w:left="2160"/>
        <w:jc w:val="center"/>
        <w:rPr>
          <w:b/>
          <w:i/>
          <w:sz w:val="32"/>
          <w:szCs w:val="32"/>
        </w:rPr>
      </w:pPr>
      <w:r w:rsidRPr="002140E0">
        <w:rPr>
          <w:b/>
          <w:i/>
          <w:sz w:val="32"/>
          <w:szCs w:val="32"/>
        </w:rPr>
        <w:lastRenderedPageBreak/>
        <w:t>&lt;&lt;</w:t>
      </w:r>
      <w:r>
        <w:rPr>
          <w:b/>
          <w:i/>
          <w:sz w:val="32"/>
          <w:szCs w:val="32"/>
        </w:rPr>
        <w:t>CLICK TO</w:t>
      </w:r>
      <w:r w:rsidR="00C00A36">
        <w:rPr>
          <w:b/>
          <w:i/>
          <w:sz w:val="32"/>
          <w:szCs w:val="32"/>
        </w:rPr>
        <w:t xml:space="preserve"> NEXT</w:t>
      </w:r>
      <w:r>
        <w:rPr>
          <w:b/>
          <w:i/>
          <w:sz w:val="32"/>
          <w:szCs w:val="32"/>
        </w:rPr>
        <w:t xml:space="preserve"> SLIDE&gt;&gt;</w:t>
      </w:r>
    </w:p>
    <w:p w14:paraId="4535F060" w14:textId="7FB89EB5" w:rsidR="004A0AB8" w:rsidRDefault="004A0AB8" w:rsidP="008449B6">
      <w:pPr>
        <w:pStyle w:val="Default"/>
        <w:spacing w:after="360" w:line="360" w:lineRule="auto"/>
        <w:ind w:left="2160"/>
        <w:rPr>
          <w:sz w:val="32"/>
          <w:szCs w:val="32"/>
        </w:rPr>
      </w:pPr>
      <w:r w:rsidRPr="004A0AB8">
        <w:rPr>
          <w:noProof/>
          <w:sz w:val="32"/>
          <w:szCs w:val="32"/>
        </w:rPr>
        <w:drawing>
          <wp:inline distT="0" distB="0" distL="0" distR="0" wp14:anchorId="68AD8A26" wp14:editId="6499D282">
            <wp:extent cx="4572638" cy="25721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2572109"/>
                    </a:xfrm>
                    <a:prstGeom prst="rect">
                      <a:avLst/>
                    </a:prstGeom>
                  </pic:spPr>
                </pic:pic>
              </a:graphicData>
            </a:graphic>
          </wp:inline>
        </w:drawing>
      </w:r>
    </w:p>
    <w:p w14:paraId="12BDDB2E" w14:textId="24102756" w:rsidR="0035663E" w:rsidRDefault="004A0AB8" w:rsidP="000F70A9">
      <w:pPr>
        <w:pStyle w:val="Default"/>
        <w:spacing w:after="360" w:line="360" w:lineRule="auto"/>
        <w:ind w:left="2160"/>
        <w:rPr>
          <w:sz w:val="32"/>
          <w:szCs w:val="32"/>
        </w:rPr>
      </w:pPr>
      <w:r>
        <w:rPr>
          <w:sz w:val="32"/>
          <w:szCs w:val="32"/>
        </w:rPr>
        <w:t>If</w:t>
      </w:r>
      <w:r w:rsidR="00B936DE">
        <w:rPr>
          <w:sz w:val="32"/>
          <w:szCs w:val="32"/>
        </w:rPr>
        <w:t xml:space="preserve"> there are </w:t>
      </w:r>
      <w:r w:rsidR="00E15854">
        <w:rPr>
          <w:sz w:val="32"/>
          <w:szCs w:val="32"/>
        </w:rPr>
        <w:t xml:space="preserve">systemic risks </w:t>
      </w:r>
      <w:r w:rsidR="00B936DE">
        <w:rPr>
          <w:sz w:val="32"/>
          <w:szCs w:val="32"/>
        </w:rPr>
        <w:t xml:space="preserve">within the financial system, </w:t>
      </w:r>
      <w:r w:rsidR="00E15854">
        <w:rPr>
          <w:sz w:val="32"/>
          <w:szCs w:val="32"/>
        </w:rPr>
        <w:t xml:space="preserve">then </w:t>
      </w:r>
      <w:r w:rsidR="007943BF">
        <w:rPr>
          <w:sz w:val="32"/>
          <w:szCs w:val="32"/>
        </w:rPr>
        <w:t xml:space="preserve">policymakers </w:t>
      </w:r>
      <w:r w:rsidR="00B936DE">
        <w:rPr>
          <w:sz w:val="32"/>
          <w:szCs w:val="32"/>
        </w:rPr>
        <w:t>should address them through a market-wide,</w:t>
      </w:r>
      <w:r w:rsidR="00E15854">
        <w:rPr>
          <w:sz w:val="32"/>
          <w:szCs w:val="32"/>
        </w:rPr>
        <w:t xml:space="preserve"> activities-based approach</w:t>
      </w:r>
      <w:r w:rsidR="00EB3200">
        <w:rPr>
          <w:sz w:val="32"/>
          <w:szCs w:val="32"/>
        </w:rPr>
        <w:t xml:space="preserve">, which serves two purposes.  </w:t>
      </w:r>
    </w:p>
    <w:p w14:paraId="4DAC67D7" w14:textId="025F5408" w:rsidR="00B936DE" w:rsidRPr="00B936DE" w:rsidRDefault="00B936DE" w:rsidP="00B936DE">
      <w:pPr>
        <w:pStyle w:val="Default"/>
        <w:numPr>
          <w:ilvl w:val="0"/>
          <w:numId w:val="11"/>
        </w:numPr>
        <w:spacing w:after="360" w:line="360" w:lineRule="auto"/>
        <w:rPr>
          <w:sz w:val="32"/>
          <w:szCs w:val="32"/>
        </w:rPr>
      </w:pPr>
      <w:r>
        <w:rPr>
          <w:sz w:val="32"/>
          <w:szCs w:val="32"/>
        </w:rPr>
        <w:t xml:space="preserve">First, this approach would enable policymakers to comprehensively monitor and </w:t>
      </w:r>
      <w:proofErr w:type="spellStart"/>
      <w:r>
        <w:rPr>
          <w:sz w:val="32"/>
          <w:szCs w:val="32"/>
        </w:rPr>
        <w:t>analyse</w:t>
      </w:r>
      <w:proofErr w:type="spellEnd"/>
      <w:r>
        <w:rPr>
          <w:sz w:val="32"/>
          <w:szCs w:val="32"/>
        </w:rPr>
        <w:t xml:space="preserve"> activities throughout the entire financial system, </w:t>
      </w:r>
      <w:r w:rsidR="00EF1522">
        <w:rPr>
          <w:sz w:val="32"/>
          <w:szCs w:val="32"/>
        </w:rPr>
        <w:t xml:space="preserve">giving them a higher likelihood of finding </w:t>
      </w:r>
      <w:r w:rsidR="007943BF">
        <w:rPr>
          <w:sz w:val="32"/>
          <w:szCs w:val="32"/>
        </w:rPr>
        <w:t>legitimate</w:t>
      </w:r>
      <w:r w:rsidR="00EF1522">
        <w:rPr>
          <w:sz w:val="32"/>
          <w:szCs w:val="32"/>
        </w:rPr>
        <w:t xml:space="preserve"> sources of systemic risk before they threaten to damage the economy. </w:t>
      </w:r>
      <w:r w:rsidR="00EB3200">
        <w:rPr>
          <w:sz w:val="32"/>
          <w:szCs w:val="32"/>
        </w:rPr>
        <w:t xml:space="preserve"> </w:t>
      </w:r>
    </w:p>
    <w:p w14:paraId="17021C10" w14:textId="1E275794" w:rsidR="00B936DE" w:rsidRDefault="00B936DE" w:rsidP="00B936DE">
      <w:pPr>
        <w:pStyle w:val="Default"/>
        <w:numPr>
          <w:ilvl w:val="0"/>
          <w:numId w:val="11"/>
        </w:numPr>
        <w:spacing w:after="360" w:line="360" w:lineRule="auto"/>
        <w:rPr>
          <w:sz w:val="32"/>
          <w:szCs w:val="32"/>
        </w:rPr>
      </w:pPr>
      <w:r w:rsidRPr="00B936DE">
        <w:rPr>
          <w:sz w:val="32"/>
          <w:szCs w:val="32"/>
        </w:rPr>
        <w:lastRenderedPageBreak/>
        <w:t>Second, targeting activities and practices would engage the primary and appropriate regulators that have deep experience and expertise with specific industries and markets.</w:t>
      </w:r>
      <w:r w:rsidR="00EB3200">
        <w:rPr>
          <w:sz w:val="32"/>
          <w:szCs w:val="32"/>
        </w:rPr>
        <w:t xml:space="preserve">  </w:t>
      </w:r>
    </w:p>
    <w:p w14:paraId="442022D4" w14:textId="665783BC" w:rsidR="00804AE6" w:rsidRDefault="00804AE6" w:rsidP="00804AE6">
      <w:pPr>
        <w:pStyle w:val="Default"/>
        <w:spacing w:after="360" w:line="360" w:lineRule="auto"/>
        <w:ind w:left="2160"/>
        <w:rPr>
          <w:sz w:val="32"/>
          <w:szCs w:val="32"/>
        </w:rPr>
      </w:pPr>
      <w:r>
        <w:rPr>
          <w:sz w:val="32"/>
          <w:szCs w:val="32"/>
        </w:rPr>
        <w:t>ICI and ICI Global have vigorously engaged with the</w:t>
      </w:r>
      <w:r w:rsidR="00C86ECB">
        <w:rPr>
          <w:sz w:val="32"/>
          <w:szCs w:val="32"/>
        </w:rPr>
        <w:t xml:space="preserve"> FSB and policymakers worldwide</w:t>
      </w:r>
      <w:r>
        <w:rPr>
          <w:sz w:val="32"/>
          <w:szCs w:val="32"/>
        </w:rPr>
        <w:t xml:space="preserve"> about the need for a market-wide, activities base.</w:t>
      </w:r>
      <w:r w:rsidR="00EB3200">
        <w:rPr>
          <w:sz w:val="32"/>
          <w:szCs w:val="32"/>
        </w:rPr>
        <w:t xml:space="preserve">  </w:t>
      </w:r>
    </w:p>
    <w:p w14:paraId="41310A2E" w14:textId="4674B4EB" w:rsidR="00E057B5" w:rsidRDefault="00E057B5" w:rsidP="00804AE6">
      <w:pPr>
        <w:pStyle w:val="Default"/>
        <w:spacing w:after="360" w:line="360" w:lineRule="auto"/>
        <w:ind w:left="2160"/>
        <w:rPr>
          <w:sz w:val="32"/>
          <w:szCs w:val="32"/>
        </w:rPr>
      </w:pPr>
      <w:r>
        <w:rPr>
          <w:sz w:val="32"/>
          <w:szCs w:val="32"/>
        </w:rPr>
        <w:t>Unfortunately, the FSB continues with its entity-based approach, which brings us to our final reason why the FSB’s consultation is fundamentally flawed.</w:t>
      </w:r>
      <w:r w:rsidR="00EB3200">
        <w:rPr>
          <w:sz w:val="32"/>
          <w:szCs w:val="32"/>
        </w:rPr>
        <w:t xml:space="preserve">  </w:t>
      </w:r>
    </w:p>
    <w:p w14:paraId="3C52EEE8" w14:textId="1A43D607" w:rsidR="00E057B5" w:rsidRDefault="00E057B5" w:rsidP="00804AE6">
      <w:pPr>
        <w:pStyle w:val="Default"/>
        <w:spacing w:after="360" w:line="360" w:lineRule="auto"/>
        <w:ind w:left="2160"/>
        <w:rPr>
          <w:sz w:val="32"/>
          <w:szCs w:val="32"/>
        </w:rPr>
      </w:pPr>
      <w:r>
        <w:rPr>
          <w:sz w:val="32"/>
          <w:szCs w:val="32"/>
        </w:rPr>
        <w:t xml:space="preserve">Despite </w:t>
      </w:r>
      <w:r w:rsidR="00960B3C">
        <w:rPr>
          <w:sz w:val="32"/>
          <w:szCs w:val="32"/>
        </w:rPr>
        <w:t>the fact tha</w:t>
      </w:r>
      <w:r w:rsidR="007943BF">
        <w:rPr>
          <w:sz w:val="32"/>
          <w:szCs w:val="32"/>
        </w:rPr>
        <w:t xml:space="preserve">t ICI and ICI Global have provided the FSB with an extensive and comprehensive </w:t>
      </w:r>
      <w:r w:rsidR="00EB3200">
        <w:rPr>
          <w:sz w:val="32"/>
          <w:szCs w:val="32"/>
        </w:rPr>
        <w:t>body of evidence,</w:t>
      </w:r>
      <w:r w:rsidR="00960B3C">
        <w:rPr>
          <w:sz w:val="32"/>
          <w:szCs w:val="32"/>
        </w:rPr>
        <w:t xml:space="preserve"> showing why funds do not present the kind of systemic risk that regulators are worried about, the FSB insists on ignoring that data, relying on conjecture instead.</w:t>
      </w:r>
      <w:r w:rsidR="009368F5">
        <w:rPr>
          <w:sz w:val="32"/>
          <w:szCs w:val="32"/>
        </w:rPr>
        <w:t xml:space="preserve"> </w:t>
      </w:r>
      <w:r w:rsidR="00EB3200">
        <w:rPr>
          <w:sz w:val="32"/>
          <w:szCs w:val="32"/>
        </w:rPr>
        <w:t xml:space="preserve"> </w:t>
      </w:r>
    </w:p>
    <w:p w14:paraId="6B1D1411" w14:textId="37767C39" w:rsidR="00804AE6" w:rsidRDefault="00A5469C" w:rsidP="00804AE6">
      <w:pPr>
        <w:pStyle w:val="Default"/>
        <w:spacing w:after="360" w:line="360" w:lineRule="auto"/>
        <w:ind w:left="2160"/>
        <w:rPr>
          <w:sz w:val="32"/>
          <w:szCs w:val="32"/>
        </w:rPr>
      </w:pPr>
      <w:r>
        <w:rPr>
          <w:sz w:val="32"/>
          <w:szCs w:val="32"/>
        </w:rPr>
        <w:t>One of the FSB’s theories is that mutual fund investors “herd.”</w:t>
      </w:r>
      <w:r w:rsidR="00EB3200">
        <w:rPr>
          <w:sz w:val="32"/>
          <w:szCs w:val="32"/>
        </w:rPr>
        <w:t xml:space="preserve">  </w:t>
      </w:r>
    </w:p>
    <w:p w14:paraId="72A47484" w14:textId="06001059" w:rsidR="00A5469C" w:rsidRDefault="00A5469C" w:rsidP="00A5469C">
      <w:pPr>
        <w:pStyle w:val="Default"/>
        <w:spacing w:after="360" w:line="360" w:lineRule="auto"/>
        <w:ind w:left="2160"/>
        <w:rPr>
          <w:sz w:val="32"/>
          <w:szCs w:val="32"/>
        </w:rPr>
      </w:pPr>
      <w:r>
        <w:rPr>
          <w:sz w:val="32"/>
          <w:szCs w:val="32"/>
        </w:rPr>
        <w:lastRenderedPageBreak/>
        <w:t>The FS</w:t>
      </w:r>
      <w:r w:rsidR="00867CF5">
        <w:rPr>
          <w:sz w:val="32"/>
          <w:szCs w:val="32"/>
        </w:rPr>
        <w:t>B asserts that in a market crisi</w:t>
      </w:r>
      <w:r>
        <w:rPr>
          <w:sz w:val="32"/>
          <w:szCs w:val="32"/>
        </w:rPr>
        <w:t>s, fund investors could panic and exit funds en masse</w:t>
      </w:r>
      <w:proofErr w:type="gramStart"/>
      <w:r>
        <w:rPr>
          <w:sz w:val="32"/>
          <w:szCs w:val="32"/>
        </w:rPr>
        <w:t>.</w:t>
      </w:r>
      <w:r w:rsidR="009368F5">
        <w:rPr>
          <w:sz w:val="32"/>
          <w:szCs w:val="32"/>
        </w:rPr>
        <w:t xml:space="preserve"> </w:t>
      </w:r>
      <w:r w:rsidR="00EB3200">
        <w:rPr>
          <w:sz w:val="32"/>
          <w:szCs w:val="32"/>
        </w:rPr>
        <w:t xml:space="preserve"> </w:t>
      </w:r>
      <w:proofErr w:type="gramEnd"/>
      <w:r>
        <w:rPr>
          <w:sz w:val="32"/>
          <w:szCs w:val="32"/>
        </w:rPr>
        <w:t>Theoretically, this could force fund managers to liquidate fund assets in fire sales, which could lead to the collapse of asset values and potentially disrupt the broader financial system.</w:t>
      </w:r>
      <w:r w:rsidR="009368F5">
        <w:rPr>
          <w:sz w:val="32"/>
          <w:szCs w:val="32"/>
        </w:rPr>
        <w:t xml:space="preserve"> </w:t>
      </w:r>
      <w:r w:rsidR="00EB3200">
        <w:rPr>
          <w:sz w:val="32"/>
          <w:szCs w:val="32"/>
        </w:rPr>
        <w:t xml:space="preserve"> </w:t>
      </w:r>
    </w:p>
    <w:p w14:paraId="2A16E6FD" w14:textId="5D6A05E1" w:rsidR="00A5469C" w:rsidRPr="00EB3200" w:rsidRDefault="00A5469C" w:rsidP="00A5469C">
      <w:pPr>
        <w:pStyle w:val="Default"/>
        <w:spacing w:after="360" w:line="360" w:lineRule="auto"/>
        <w:ind w:left="2160"/>
        <w:rPr>
          <w:sz w:val="32"/>
          <w:szCs w:val="32"/>
        </w:rPr>
      </w:pPr>
      <w:r>
        <w:rPr>
          <w:sz w:val="32"/>
          <w:szCs w:val="32"/>
        </w:rPr>
        <w:t>Given the long period of low interest rates and the anticipated rate increases, regulators are particularly concerned about this happening in bond funds</w:t>
      </w:r>
      <w:proofErr w:type="gramStart"/>
      <w:r>
        <w:rPr>
          <w:sz w:val="32"/>
          <w:szCs w:val="32"/>
        </w:rPr>
        <w:t>.</w:t>
      </w:r>
      <w:r w:rsidR="009368F5">
        <w:rPr>
          <w:sz w:val="32"/>
          <w:szCs w:val="32"/>
        </w:rPr>
        <w:t xml:space="preserve"> </w:t>
      </w:r>
      <w:r w:rsidR="00EB3200">
        <w:rPr>
          <w:sz w:val="32"/>
          <w:szCs w:val="32"/>
        </w:rPr>
        <w:t xml:space="preserve"> </w:t>
      </w:r>
      <w:proofErr w:type="gramEnd"/>
      <w:r>
        <w:rPr>
          <w:sz w:val="32"/>
          <w:szCs w:val="32"/>
        </w:rPr>
        <w:t>Yet as you</w:t>
      </w:r>
      <w:r w:rsidR="005B3A95">
        <w:rPr>
          <w:sz w:val="32"/>
          <w:szCs w:val="32"/>
        </w:rPr>
        <w:t xml:space="preserve"> are</w:t>
      </w:r>
      <w:r>
        <w:rPr>
          <w:sz w:val="32"/>
          <w:szCs w:val="32"/>
        </w:rPr>
        <w:t xml:space="preserve"> about to see, historical and empirical evidence about how US bond fund investors behave refute this theory.</w:t>
      </w:r>
      <w:r w:rsidR="009368F5">
        <w:rPr>
          <w:sz w:val="32"/>
          <w:szCs w:val="32"/>
        </w:rPr>
        <w:t xml:space="preserve"> </w:t>
      </w:r>
      <w:r w:rsidR="00EB3200">
        <w:rPr>
          <w:sz w:val="32"/>
          <w:szCs w:val="32"/>
        </w:rPr>
        <w:t xml:space="preserve"> </w:t>
      </w:r>
    </w:p>
    <w:p w14:paraId="4BA83547" w14:textId="07C85B65" w:rsidR="00A5469C" w:rsidRPr="002140E0" w:rsidRDefault="00A5469C" w:rsidP="00A5469C">
      <w:pPr>
        <w:pStyle w:val="Default"/>
        <w:spacing w:after="360" w:line="360" w:lineRule="auto"/>
        <w:ind w:left="2160"/>
        <w:jc w:val="center"/>
        <w:rPr>
          <w:b/>
          <w:i/>
          <w:sz w:val="32"/>
          <w:szCs w:val="32"/>
        </w:rPr>
      </w:pPr>
      <w:r w:rsidRPr="002140E0">
        <w:rPr>
          <w:b/>
          <w:i/>
          <w:sz w:val="32"/>
          <w:szCs w:val="32"/>
        </w:rPr>
        <w:t>&lt;&lt;</w:t>
      </w:r>
      <w:r>
        <w:rPr>
          <w:b/>
          <w:i/>
          <w:sz w:val="32"/>
          <w:szCs w:val="32"/>
        </w:rPr>
        <w:t>CLICK TO</w:t>
      </w:r>
      <w:r w:rsidR="004C3A87">
        <w:rPr>
          <w:b/>
          <w:i/>
          <w:sz w:val="32"/>
          <w:szCs w:val="32"/>
        </w:rPr>
        <w:t xml:space="preserve"> NEXT</w:t>
      </w:r>
      <w:r>
        <w:rPr>
          <w:b/>
          <w:i/>
          <w:sz w:val="32"/>
          <w:szCs w:val="32"/>
        </w:rPr>
        <w:t xml:space="preserve"> SLIDE&gt;&gt;</w:t>
      </w:r>
    </w:p>
    <w:p w14:paraId="0F10B592" w14:textId="41D3295E" w:rsidR="00A5469C" w:rsidRDefault="00C86ECB" w:rsidP="00A5469C">
      <w:pPr>
        <w:pStyle w:val="Default"/>
        <w:tabs>
          <w:tab w:val="left" w:pos="1440"/>
        </w:tabs>
        <w:spacing w:after="360" w:line="360" w:lineRule="auto"/>
        <w:ind w:left="2160"/>
        <w:jc w:val="center"/>
        <w:rPr>
          <w:sz w:val="32"/>
          <w:szCs w:val="32"/>
        </w:rPr>
      </w:pPr>
      <w:r w:rsidRPr="00C86ECB">
        <w:rPr>
          <w:noProof/>
          <w:sz w:val="32"/>
          <w:szCs w:val="32"/>
        </w:rPr>
        <w:drawing>
          <wp:inline distT="0" distB="0" distL="0" distR="0" wp14:anchorId="5CE6C63A" wp14:editId="1C4F7910">
            <wp:extent cx="4572638" cy="2572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572109"/>
                    </a:xfrm>
                    <a:prstGeom prst="rect">
                      <a:avLst/>
                    </a:prstGeom>
                  </pic:spPr>
                </pic:pic>
              </a:graphicData>
            </a:graphic>
          </wp:inline>
        </w:drawing>
      </w:r>
    </w:p>
    <w:p w14:paraId="0F124E2D" w14:textId="5BD23D68" w:rsidR="00A5469C" w:rsidRPr="003C31D9" w:rsidRDefault="00A5469C" w:rsidP="00A5469C">
      <w:pPr>
        <w:pStyle w:val="Default"/>
        <w:spacing w:after="360" w:line="360" w:lineRule="auto"/>
        <w:ind w:left="2160"/>
        <w:rPr>
          <w:sz w:val="32"/>
          <w:szCs w:val="32"/>
        </w:rPr>
      </w:pPr>
      <w:r>
        <w:rPr>
          <w:sz w:val="32"/>
          <w:szCs w:val="32"/>
        </w:rPr>
        <w:lastRenderedPageBreak/>
        <w:t xml:space="preserve">This </w:t>
      </w:r>
      <w:r w:rsidRPr="003C31D9">
        <w:rPr>
          <w:sz w:val="32"/>
          <w:szCs w:val="32"/>
        </w:rPr>
        <w:t xml:space="preserve">chart shows </w:t>
      </w:r>
      <w:r>
        <w:rPr>
          <w:sz w:val="32"/>
          <w:szCs w:val="32"/>
        </w:rPr>
        <w:t>a</w:t>
      </w:r>
      <w:r w:rsidRPr="003C31D9">
        <w:rPr>
          <w:sz w:val="32"/>
          <w:szCs w:val="32"/>
        </w:rPr>
        <w:t xml:space="preserve"> range </w:t>
      </w:r>
      <w:r>
        <w:rPr>
          <w:sz w:val="32"/>
          <w:szCs w:val="32"/>
        </w:rPr>
        <w:t xml:space="preserve">of </w:t>
      </w:r>
      <w:r w:rsidRPr="003C31D9">
        <w:rPr>
          <w:sz w:val="32"/>
          <w:szCs w:val="32"/>
        </w:rPr>
        <w:t>flows on a monthly basis as a percentage of assets.</w:t>
      </w:r>
      <w:r w:rsidR="009368F5">
        <w:rPr>
          <w:sz w:val="32"/>
          <w:szCs w:val="32"/>
        </w:rPr>
        <w:t xml:space="preserve"> </w:t>
      </w:r>
      <w:r w:rsidR="00EB3200">
        <w:rPr>
          <w:sz w:val="32"/>
          <w:szCs w:val="32"/>
        </w:rPr>
        <w:t xml:space="preserve"> </w:t>
      </w:r>
    </w:p>
    <w:p w14:paraId="4C4DC74C" w14:textId="2B8A9D7E" w:rsidR="00A5469C" w:rsidRPr="003C31D9" w:rsidRDefault="00A5469C" w:rsidP="00A5469C">
      <w:pPr>
        <w:pStyle w:val="Default"/>
        <w:spacing w:after="360" w:line="360" w:lineRule="auto"/>
        <w:ind w:left="2160"/>
        <w:rPr>
          <w:sz w:val="32"/>
          <w:szCs w:val="32"/>
        </w:rPr>
      </w:pPr>
      <w:r w:rsidRPr="003C31D9">
        <w:rPr>
          <w:sz w:val="32"/>
          <w:szCs w:val="32"/>
        </w:rPr>
        <w:t xml:space="preserve">The green line is the net impact in the industry, and this is for all </w:t>
      </w:r>
      <w:r>
        <w:rPr>
          <w:sz w:val="32"/>
          <w:szCs w:val="32"/>
        </w:rPr>
        <w:t xml:space="preserve">US </w:t>
      </w:r>
      <w:proofErr w:type="gramStart"/>
      <w:r w:rsidRPr="003C31D9">
        <w:rPr>
          <w:sz w:val="32"/>
          <w:szCs w:val="32"/>
        </w:rPr>
        <w:t>bond funds</w:t>
      </w:r>
      <w:proofErr w:type="gramEnd"/>
      <w:r w:rsidRPr="003C31D9">
        <w:rPr>
          <w:sz w:val="32"/>
          <w:szCs w:val="32"/>
        </w:rPr>
        <w:t>, going back to 1990.</w:t>
      </w:r>
      <w:r w:rsidR="009368F5">
        <w:rPr>
          <w:sz w:val="32"/>
          <w:szCs w:val="32"/>
        </w:rPr>
        <w:t xml:space="preserve"> </w:t>
      </w:r>
      <w:r w:rsidR="00EB3200">
        <w:rPr>
          <w:sz w:val="32"/>
          <w:szCs w:val="32"/>
        </w:rPr>
        <w:t xml:space="preserve"> </w:t>
      </w:r>
    </w:p>
    <w:p w14:paraId="5EE39C3A" w14:textId="7FC8B506" w:rsidR="00A5469C" w:rsidRPr="003C31D9" w:rsidRDefault="00A5469C" w:rsidP="00A5469C">
      <w:pPr>
        <w:pStyle w:val="Default"/>
        <w:spacing w:after="360" w:line="360" w:lineRule="auto"/>
        <w:ind w:left="2160"/>
        <w:rPr>
          <w:sz w:val="32"/>
          <w:szCs w:val="32"/>
        </w:rPr>
      </w:pPr>
      <w:r w:rsidRPr="003C31D9">
        <w:rPr>
          <w:sz w:val="32"/>
          <w:szCs w:val="32"/>
        </w:rPr>
        <w:t>As you can</w:t>
      </w:r>
      <w:r>
        <w:rPr>
          <w:sz w:val="32"/>
          <w:szCs w:val="32"/>
        </w:rPr>
        <w:t xml:space="preserve"> see</w:t>
      </w:r>
      <w:r w:rsidRPr="003C31D9">
        <w:rPr>
          <w:sz w:val="32"/>
          <w:szCs w:val="32"/>
        </w:rPr>
        <w:t>, the net flows hover around zero.</w:t>
      </w:r>
      <w:r w:rsidR="009368F5">
        <w:rPr>
          <w:sz w:val="32"/>
          <w:szCs w:val="32"/>
        </w:rPr>
        <w:t xml:space="preserve"> </w:t>
      </w:r>
      <w:r w:rsidRPr="003C31D9">
        <w:rPr>
          <w:sz w:val="32"/>
          <w:szCs w:val="32"/>
        </w:rPr>
        <w:t>Thus, during any given month</w:t>
      </w:r>
      <w:r>
        <w:rPr>
          <w:sz w:val="32"/>
          <w:szCs w:val="32"/>
        </w:rPr>
        <w:t>,</w:t>
      </w:r>
      <w:r w:rsidRPr="003C31D9">
        <w:rPr>
          <w:sz w:val="32"/>
          <w:szCs w:val="32"/>
        </w:rPr>
        <w:t xml:space="preserve"> </w:t>
      </w:r>
      <w:r>
        <w:rPr>
          <w:sz w:val="32"/>
          <w:szCs w:val="32"/>
        </w:rPr>
        <w:t xml:space="preserve">net industry flows to bond funds </w:t>
      </w:r>
      <w:r w:rsidRPr="003C31D9">
        <w:rPr>
          <w:sz w:val="32"/>
          <w:szCs w:val="32"/>
        </w:rPr>
        <w:t>are either slightly below</w:t>
      </w:r>
      <w:r>
        <w:rPr>
          <w:sz w:val="32"/>
          <w:szCs w:val="32"/>
        </w:rPr>
        <w:t xml:space="preserve"> or above</w:t>
      </w:r>
      <w:r w:rsidRPr="003C31D9">
        <w:rPr>
          <w:sz w:val="32"/>
          <w:szCs w:val="32"/>
        </w:rPr>
        <w:t xml:space="preserve"> zero in terms of flows as a percentage of assets.</w:t>
      </w:r>
      <w:r w:rsidR="009368F5">
        <w:rPr>
          <w:sz w:val="32"/>
          <w:szCs w:val="32"/>
        </w:rPr>
        <w:t xml:space="preserve"> </w:t>
      </w:r>
      <w:r w:rsidR="00EB3200">
        <w:rPr>
          <w:sz w:val="32"/>
          <w:szCs w:val="32"/>
        </w:rPr>
        <w:t xml:space="preserve"> </w:t>
      </w:r>
    </w:p>
    <w:p w14:paraId="5CED534E" w14:textId="51D5A79B" w:rsidR="00A5469C" w:rsidRPr="003C31D9" w:rsidRDefault="00A5469C" w:rsidP="00A5469C">
      <w:pPr>
        <w:pStyle w:val="Default"/>
        <w:spacing w:after="360" w:line="360" w:lineRule="auto"/>
        <w:ind w:left="2160"/>
        <w:rPr>
          <w:sz w:val="32"/>
          <w:szCs w:val="32"/>
        </w:rPr>
      </w:pPr>
      <w:r w:rsidRPr="003C31D9">
        <w:rPr>
          <w:sz w:val="32"/>
          <w:szCs w:val="32"/>
        </w:rPr>
        <w:t xml:space="preserve">Now, certainly individual funds can </w:t>
      </w:r>
      <w:r>
        <w:rPr>
          <w:sz w:val="32"/>
          <w:szCs w:val="32"/>
        </w:rPr>
        <w:t>have</w:t>
      </w:r>
      <w:r w:rsidRPr="003C31D9">
        <w:rPr>
          <w:sz w:val="32"/>
          <w:szCs w:val="32"/>
        </w:rPr>
        <w:t xml:space="preserve"> large outflows, and this </w:t>
      </w:r>
      <w:r>
        <w:rPr>
          <w:sz w:val="32"/>
          <w:szCs w:val="32"/>
        </w:rPr>
        <w:t>yellow</w:t>
      </w:r>
      <w:r w:rsidRPr="003C31D9">
        <w:rPr>
          <w:sz w:val="32"/>
          <w:szCs w:val="32"/>
        </w:rPr>
        <w:t xml:space="preserve"> line shows the 10th percentile funds in any given month.</w:t>
      </w:r>
      <w:r w:rsidR="009368F5">
        <w:rPr>
          <w:sz w:val="32"/>
          <w:szCs w:val="32"/>
        </w:rPr>
        <w:t xml:space="preserve"> </w:t>
      </w:r>
      <w:r w:rsidR="00EB3200">
        <w:rPr>
          <w:sz w:val="32"/>
          <w:szCs w:val="32"/>
        </w:rPr>
        <w:t xml:space="preserve"> </w:t>
      </w:r>
    </w:p>
    <w:p w14:paraId="17A1C94E" w14:textId="4E55D4E7" w:rsidR="00A5469C" w:rsidRPr="003C31D9" w:rsidRDefault="00A5469C" w:rsidP="00A5469C">
      <w:pPr>
        <w:pStyle w:val="Default"/>
        <w:spacing w:after="360" w:line="360" w:lineRule="auto"/>
        <w:ind w:left="2160"/>
        <w:rPr>
          <w:sz w:val="32"/>
          <w:szCs w:val="32"/>
        </w:rPr>
      </w:pPr>
      <w:r>
        <w:rPr>
          <w:sz w:val="32"/>
          <w:szCs w:val="32"/>
        </w:rPr>
        <w:t xml:space="preserve">For instance, in October </w:t>
      </w:r>
      <w:r w:rsidRPr="003C31D9">
        <w:rPr>
          <w:sz w:val="32"/>
          <w:szCs w:val="32"/>
        </w:rPr>
        <w:t xml:space="preserve">2008, 10 percent of </w:t>
      </w:r>
      <w:r>
        <w:rPr>
          <w:sz w:val="32"/>
          <w:szCs w:val="32"/>
        </w:rPr>
        <w:t xml:space="preserve">bond </w:t>
      </w:r>
      <w:r w:rsidRPr="003C31D9">
        <w:rPr>
          <w:sz w:val="32"/>
          <w:szCs w:val="32"/>
        </w:rPr>
        <w:t>funds had outflows of 8 percent or more</w:t>
      </w:r>
      <w:proofErr w:type="gramStart"/>
      <w:r>
        <w:rPr>
          <w:sz w:val="32"/>
          <w:szCs w:val="32"/>
        </w:rPr>
        <w:t>.</w:t>
      </w:r>
      <w:r w:rsidR="009368F5">
        <w:rPr>
          <w:sz w:val="32"/>
          <w:szCs w:val="32"/>
        </w:rPr>
        <w:t xml:space="preserve"> </w:t>
      </w:r>
      <w:r w:rsidR="00EB3200">
        <w:rPr>
          <w:sz w:val="32"/>
          <w:szCs w:val="32"/>
        </w:rPr>
        <w:t xml:space="preserve"> </w:t>
      </w:r>
      <w:proofErr w:type="gramEnd"/>
      <w:r>
        <w:rPr>
          <w:sz w:val="32"/>
          <w:szCs w:val="32"/>
        </w:rPr>
        <w:t>But at the same time,</w:t>
      </w:r>
      <w:r w:rsidRPr="003C31D9">
        <w:rPr>
          <w:sz w:val="32"/>
          <w:szCs w:val="32"/>
        </w:rPr>
        <w:t xml:space="preserve"> </w:t>
      </w:r>
      <w:r>
        <w:rPr>
          <w:sz w:val="32"/>
          <w:szCs w:val="32"/>
        </w:rPr>
        <w:t xml:space="preserve">this blue line shows that </w:t>
      </w:r>
      <w:r w:rsidRPr="003C31D9">
        <w:rPr>
          <w:sz w:val="32"/>
          <w:szCs w:val="32"/>
        </w:rPr>
        <w:t xml:space="preserve">10 percent of </w:t>
      </w:r>
      <w:r>
        <w:rPr>
          <w:sz w:val="32"/>
          <w:szCs w:val="32"/>
        </w:rPr>
        <w:t>bond</w:t>
      </w:r>
      <w:r w:rsidRPr="003C31D9">
        <w:rPr>
          <w:sz w:val="32"/>
          <w:szCs w:val="32"/>
        </w:rPr>
        <w:t xml:space="preserve"> funds had inflows of 4 percent or more</w:t>
      </w:r>
      <w:proofErr w:type="gramStart"/>
      <w:r>
        <w:rPr>
          <w:sz w:val="32"/>
          <w:szCs w:val="32"/>
        </w:rPr>
        <w:t>.</w:t>
      </w:r>
      <w:r w:rsidR="009368F5">
        <w:rPr>
          <w:sz w:val="32"/>
          <w:szCs w:val="32"/>
        </w:rPr>
        <w:t xml:space="preserve"> </w:t>
      </w:r>
      <w:r w:rsidR="00EB3200">
        <w:rPr>
          <w:sz w:val="32"/>
          <w:szCs w:val="32"/>
        </w:rPr>
        <w:t xml:space="preserve"> </w:t>
      </w:r>
      <w:proofErr w:type="gramEnd"/>
      <w:r>
        <w:rPr>
          <w:sz w:val="32"/>
          <w:szCs w:val="32"/>
        </w:rPr>
        <w:t>Thus, the net of those</w:t>
      </w:r>
      <w:r w:rsidRPr="003C31D9">
        <w:rPr>
          <w:sz w:val="32"/>
          <w:szCs w:val="32"/>
        </w:rPr>
        <w:t xml:space="preserve"> </w:t>
      </w:r>
      <w:r>
        <w:rPr>
          <w:sz w:val="32"/>
          <w:szCs w:val="32"/>
        </w:rPr>
        <w:t>flows</w:t>
      </w:r>
      <w:r w:rsidRPr="003C31D9">
        <w:rPr>
          <w:sz w:val="32"/>
          <w:szCs w:val="32"/>
        </w:rPr>
        <w:t xml:space="preserve"> was about</w:t>
      </w:r>
      <w:r>
        <w:rPr>
          <w:sz w:val="32"/>
          <w:szCs w:val="32"/>
        </w:rPr>
        <w:t xml:space="preserve"> a negative</w:t>
      </w:r>
      <w:r w:rsidRPr="003C31D9">
        <w:rPr>
          <w:sz w:val="32"/>
          <w:szCs w:val="32"/>
        </w:rPr>
        <w:t xml:space="preserve"> 1.5 percent</w:t>
      </w:r>
      <w:r>
        <w:rPr>
          <w:sz w:val="32"/>
          <w:szCs w:val="32"/>
        </w:rPr>
        <w:t xml:space="preserve"> — and that was during the height of the financial crisis</w:t>
      </w:r>
      <w:r w:rsidRPr="003C31D9">
        <w:rPr>
          <w:sz w:val="32"/>
          <w:szCs w:val="32"/>
        </w:rPr>
        <w:t>.</w:t>
      </w:r>
      <w:r w:rsidR="009368F5">
        <w:rPr>
          <w:sz w:val="32"/>
          <w:szCs w:val="32"/>
        </w:rPr>
        <w:t xml:space="preserve"> </w:t>
      </w:r>
      <w:r w:rsidR="00EB3200">
        <w:rPr>
          <w:sz w:val="32"/>
          <w:szCs w:val="32"/>
        </w:rPr>
        <w:t xml:space="preserve"> </w:t>
      </w:r>
    </w:p>
    <w:p w14:paraId="34B47361" w14:textId="4DD58A38" w:rsidR="00A5469C" w:rsidRDefault="00A5469C" w:rsidP="00A5469C">
      <w:pPr>
        <w:pStyle w:val="Default"/>
        <w:spacing w:after="360" w:line="360" w:lineRule="auto"/>
        <w:ind w:left="2160"/>
        <w:rPr>
          <w:sz w:val="32"/>
          <w:szCs w:val="32"/>
        </w:rPr>
      </w:pPr>
      <w:r>
        <w:rPr>
          <w:sz w:val="32"/>
          <w:szCs w:val="32"/>
        </w:rPr>
        <w:lastRenderedPageBreak/>
        <w:t>This means that fund investment is a</w:t>
      </w:r>
      <w:r w:rsidRPr="003C31D9">
        <w:rPr>
          <w:sz w:val="32"/>
          <w:szCs w:val="32"/>
        </w:rPr>
        <w:t xml:space="preserve"> relatively closed system</w:t>
      </w:r>
      <w:r>
        <w:rPr>
          <w:sz w:val="32"/>
          <w:szCs w:val="32"/>
        </w:rPr>
        <w:t xml:space="preserve">; </w:t>
      </w:r>
      <w:r w:rsidRPr="003C31D9">
        <w:rPr>
          <w:sz w:val="32"/>
          <w:szCs w:val="32"/>
        </w:rPr>
        <w:t>money coming out of one fund is often immediately reinvested in another fund</w:t>
      </w:r>
      <w:r>
        <w:rPr>
          <w:sz w:val="32"/>
          <w:szCs w:val="32"/>
        </w:rPr>
        <w:t>.</w:t>
      </w:r>
      <w:r w:rsidR="009368F5">
        <w:rPr>
          <w:sz w:val="32"/>
          <w:szCs w:val="32"/>
        </w:rPr>
        <w:t xml:space="preserve"> </w:t>
      </w:r>
      <w:r w:rsidR="00EB3200">
        <w:rPr>
          <w:sz w:val="32"/>
          <w:szCs w:val="32"/>
        </w:rPr>
        <w:t xml:space="preserve"> </w:t>
      </w:r>
    </w:p>
    <w:p w14:paraId="09BB1301" w14:textId="3976AD86" w:rsidR="00A5469C" w:rsidRDefault="00A5469C" w:rsidP="00A5469C">
      <w:pPr>
        <w:pStyle w:val="Default"/>
        <w:spacing w:after="360" w:line="360" w:lineRule="auto"/>
        <w:ind w:left="2160"/>
        <w:rPr>
          <w:sz w:val="32"/>
          <w:szCs w:val="32"/>
        </w:rPr>
      </w:pPr>
      <w:r>
        <w:rPr>
          <w:sz w:val="32"/>
          <w:szCs w:val="32"/>
        </w:rPr>
        <w:t>This is because</w:t>
      </w:r>
      <w:r w:rsidRPr="003C31D9">
        <w:rPr>
          <w:sz w:val="32"/>
          <w:szCs w:val="32"/>
        </w:rPr>
        <w:t xml:space="preserve"> investors </w:t>
      </w:r>
      <w:r>
        <w:rPr>
          <w:sz w:val="32"/>
          <w:szCs w:val="32"/>
        </w:rPr>
        <w:t>want to</w:t>
      </w:r>
      <w:r w:rsidRPr="003C31D9">
        <w:rPr>
          <w:sz w:val="32"/>
          <w:szCs w:val="32"/>
        </w:rPr>
        <w:t xml:space="preserve"> maintain their market exposure</w:t>
      </w:r>
      <w:proofErr w:type="gramStart"/>
      <w:r>
        <w:rPr>
          <w:sz w:val="32"/>
          <w:szCs w:val="32"/>
        </w:rPr>
        <w:t>.</w:t>
      </w:r>
      <w:r w:rsidR="009368F5">
        <w:rPr>
          <w:sz w:val="32"/>
          <w:szCs w:val="32"/>
        </w:rPr>
        <w:t xml:space="preserve"> </w:t>
      </w:r>
      <w:r w:rsidR="00EB3200">
        <w:rPr>
          <w:sz w:val="32"/>
          <w:szCs w:val="32"/>
        </w:rPr>
        <w:t xml:space="preserve"> </w:t>
      </w:r>
      <w:proofErr w:type="gramEnd"/>
      <w:r>
        <w:rPr>
          <w:sz w:val="32"/>
          <w:szCs w:val="32"/>
        </w:rPr>
        <w:t>They</w:t>
      </w:r>
      <w:r w:rsidRPr="003C31D9">
        <w:rPr>
          <w:sz w:val="32"/>
          <w:szCs w:val="32"/>
        </w:rPr>
        <w:t xml:space="preserve"> want</w:t>
      </w:r>
      <w:r>
        <w:rPr>
          <w:sz w:val="32"/>
          <w:szCs w:val="32"/>
        </w:rPr>
        <w:t xml:space="preserve"> </w:t>
      </w:r>
      <w:r w:rsidRPr="003C31D9">
        <w:rPr>
          <w:sz w:val="32"/>
          <w:szCs w:val="32"/>
        </w:rPr>
        <w:t>to stay in the</w:t>
      </w:r>
      <w:r>
        <w:rPr>
          <w:sz w:val="32"/>
          <w:szCs w:val="32"/>
        </w:rPr>
        <w:t xml:space="preserve"> </w:t>
      </w:r>
      <w:r w:rsidRPr="003C31D9">
        <w:rPr>
          <w:sz w:val="32"/>
          <w:szCs w:val="32"/>
        </w:rPr>
        <w:t>investment profile that they</w:t>
      </w:r>
      <w:r>
        <w:rPr>
          <w:sz w:val="32"/>
          <w:szCs w:val="32"/>
        </w:rPr>
        <w:t xml:space="preserve"> have</w:t>
      </w:r>
      <w:r w:rsidRPr="003C31D9">
        <w:rPr>
          <w:sz w:val="32"/>
          <w:szCs w:val="32"/>
        </w:rPr>
        <w:t xml:space="preserve"> set up</w:t>
      </w:r>
      <w:proofErr w:type="gramStart"/>
      <w:r w:rsidRPr="003C31D9">
        <w:rPr>
          <w:sz w:val="32"/>
          <w:szCs w:val="32"/>
        </w:rPr>
        <w:t>.</w:t>
      </w:r>
      <w:r w:rsidR="009368F5">
        <w:rPr>
          <w:sz w:val="32"/>
          <w:szCs w:val="32"/>
        </w:rPr>
        <w:t xml:space="preserve"> </w:t>
      </w:r>
      <w:r w:rsidR="00EB3200">
        <w:rPr>
          <w:sz w:val="32"/>
          <w:szCs w:val="32"/>
        </w:rPr>
        <w:t xml:space="preserve"> </w:t>
      </w:r>
      <w:proofErr w:type="gramEnd"/>
      <w:r>
        <w:rPr>
          <w:sz w:val="32"/>
          <w:szCs w:val="32"/>
        </w:rPr>
        <w:t>And t</w:t>
      </w:r>
      <w:r w:rsidRPr="003C31D9">
        <w:rPr>
          <w:sz w:val="32"/>
          <w:szCs w:val="32"/>
        </w:rPr>
        <w:t xml:space="preserve">hey are usually doing this through a </w:t>
      </w:r>
      <w:r w:rsidR="00DA5AEF">
        <w:rPr>
          <w:sz w:val="32"/>
          <w:szCs w:val="32"/>
        </w:rPr>
        <w:t xml:space="preserve">retirement account, such as a </w:t>
      </w:r>
      <w:r w:rsidRPr="003C31D9">
        <w:rPr>
          <w:sz w:val="32"/>
          <w:szCs w:val="32"/>
        </w:rPr>
        <w:t>401(k)</w:t>
      </w:r>
      <w:r w:rsidR="00DA5AEF">
        <w:rPr>
          <w:sz w:val="32"/>
          <w:szCs w:val="32"/>
        </w:rPr>
        <w:t xml:space="preserve"> in the United States,</w:t>
      </w:r>
      <w:r w:rsidRPr="003C31D9">
        <w:rPr>
          <w:sz w:val="32"/>
          <w:szCs w:val="32"/>
        </w:rPr>
        <w:t xml:space="preserve"> or with the help of </w:t>
      </w:r>
      <w:r>
        <w:rPr>
          <w:sz w:val="32"/>
          <w:szCs w:val="32"/>
        </w:rPr>
        <w:t xml:space="preserve">a financial </w:t>
      </w:r>
      <w:r w:rsidRPr="003C31D9">
        <w:rPr>
          <w:sz w:val="32"/>
          <w:szCs w:val="32"/>
        </w:rPr>
        <w:t>advisor.</w:t>
      </w:r>
      <w:r w:rsidR="009368F5">
        <w:rPr>
          <w:sz w:val="32"/>
          <w:szCs w:val="32"/>
        </w:rPr>
        <w:t xml:space="preserve"> </w:t>
      </w:r>
      <w:r w:rsidR="00EB3200">
        <w:rPr>
          <w:sz w:val="32"/>
          <w:szCs w:val="32"/>
        </w:rPr>
        <w:t xml:space="preserve"> </w:t>
      </w:r>
    </w:p>
    <w:p w14:paraId="68D4BAC5" w14:textId="2541602D" w:rsidR="00A5469C" w:rsidRDefault="00A5469C" w:rsidP="00A5469C">
      <w:pPr>
        <w:pStyle w:val="Default"/>
        <w:spacing w:after="360" w:line="360" w:lineRule="auto"/>
        <w:ind w:left="2160"/>
        <w:rPr>
          <w:sz w:val="32"/>
          <w:szCs w:val="32"/>
        </w:rPr>
      </w:pPr>
      <w:r w:rsidRPr="003519E9">
        <w:rPr>
          <w:sz w:val="32"/>
          <w:szCs w:val="32"/>
        </w:rPr>
        <w:t xml:space="preserve">Thus, contrary to </w:t>
      </w:r>
      <w:r w:rsidR="00DA5AEF">
        <w:rPr>
          <w:sz w:val="32"/>
          <w:szCs w:val="32"/>
        </w:rPr>
        <w:t>the FSB’s</w:t>
      </w:r>
      <w:r w:rsidRPr="003519E9">
        <w:rPr>
          <w:sz w:val="32"/>
          <w:szCs w:val="32"/>
        </w:rPr>
        <w:t xml:space="preserve"> hypothesis, </w:t>
      </w:r>
      <w:r>
        <w:rPr>
          <w:sz w:val="32"/>
          <w:szCs w:val="32"/>
        </w:rPr>
        <w:t xml:space="preserve">fund </w:t>
      </w:r>
      <w:r w:rsidRPr="003519E9">
        <w:rPr>
          <w:sz w:val="32"/>
          <w:szCs w:val="32"/>
        </w:rPr>
        <w:t>investors do not herd</w:t>
      </w:r>
      <w:proofErr w:type="gramStart"/>
      <w:r w:rsidRPr="003519E9">
        <w:rPr>
          <w:sz w:val="32"/>
          <w:szCs w:val="32"/>
        </w:rPr>
        <w:t>.</w:t>
      </w:r>
      <w:r w:rsidR="009368F5">
        <w:rPr>
          <w:sz w:val="32"/>
          <w:szCs w:val="32"/>
        </w:rPr>
        <w:t xml:space="preserve"> </w:t>
      </w:r>
      <w:r w:rsidR="00EB3200">
        <w:rPr>
          <w:sz w:val="32"/>
          <w:szCs w:val="32"/>
        </w:rPr>
        <w:t xml:space="preserve"> </w:t>
      </w:r>
      <w:proofErr w:type="gramEnd"/>
      <w:r>
        <w:rPr>
          <w:sz w:val="32"/>
          <w:szCs w:val="32"/>
        </w:rPr>
        <w:t>One of the</w:t>
      </w:r>
      <w:r w:rsidRPr="003519E9">
        <w:rPr>
          <w:sz w:val="32"/>
          <w:szCs w:val="32"/>
        </w:rPr>
        <w:t xml:space="preserve"> reason</w:t>
      </w:r>
      <w:r>
        <w:rPr>
          <w:sz w:val="32"/>
          <w:szCs w:val="32"/>
        </w:rPr>
        <w:t>s</w:t>
      </w:r>
      <w:r w:rsidRPr="003519E9">
        <w:rPr>
          <w:sz w:val="32"/>
          <w:szCs w:val="32"/>
        </w:rPr>
        <w:t xml:space="preserve"> is th</w:t>
      </w:r>
      <w:r>
        <w:rPr>
          <w:sz w:val="32"/>
          <w:szCs w:val="32"/>
        </w:rPr>
        <w:t>at these</w:t>
      </w:r>
      <w:r w:rsidRPr="003519E9">
        <w:rPr>
          <w:sz w:val="32"/>
          <w:szCs w:val="32"/>
        </w:rPr>
        <w:t xml:space="preserve"> investors tend to be very stable</w:t>
      </w:r>
      <w:proofErr w:type="gramStart"/>
      <w:r w:rsidRPr="003519E9">
        <w:rPr>
          <w:sz w:val="32"/>
          <w:szCs w:val="32"/>
        </w:rPr>
        <w:t>.</w:t>
      </w:r>
      <w:r w:rsidR="009368F5">
        <w:rPr>
          <w:sz w:val="32"/>
          <w:szCs w:val="32"/>
        </w:rPr>
        <w:t xml:space="preserve"> </w:t>
      </w:r>
      <w:r w:rsidR="00EB3200">
        <w:rPr>
          <w:sz w:val="32"/>
          <w:szCs w:val="32"/>
        </w:rPr>
        <w:t xml:space="preserve"> </w:t>
      </w:r>
      <w:proofErr w:type="gramEnd"/>
      <w:r w:rsidRPr="003519E9">
        <w:rPr>
          <w:sz w:val="32"/>
          <w:szCs w:val="32"/>
        </w:rPr>
        <w:t>A large part of them are retail investors</w:t>
      </w:r>
      <w:r>
        <w:rPr>
          <w:sz w:val="32"/>
          <w:szCs w:val="32"/>
        </w:rPr>
        <w:t>, like households</w:t>
      </w:r>
      <w:r w:rsidRPr="003519E9">
        <w:rPr>
          <w:sz w:val="32"/>
          <w:szCs w:val="32"/>
        </w:rPr>
        <w:t xml:space="preserve">, who </w:t>
      </w:r>
      <w:r>
        <w:rPr>
          <w:sz w:val="32"/>
          <w:szCs w:val="32"/>
        </w:rPr>
        <w:t xml:space="preserve">are saving for long-term needs, such as </w:t>
      </w:r>
      <w:r w:rsidRPr="003519E9">
        <w:rPr>
          <w:sz w:val="32"/>
          <w:szCs w:val="32"/>
        </w:rPr>
        <w:t>retirement.</w:t>
      </w:r>
      <w:r w:rsidR="009368F5">
        <w:rPr>
          <w:sz w:val="32"/>
          <w:szCs w:val="32"/>
        </w:rPr>
        <w:t xml:space="preserve"> </w:t>
      </w:r>
      <w:r w:rsidR="00EB3200">
        <w:rPr>
          <w:sz w:val="32"/>
          <w:szCs w:val="32"/>
        </w:rPr>
        <w:t xml:space="preserve"> </w:t>
      </w:r>
    </w:p>
    <w:p w14:paraId="440DF441" w14:textId="77777777" w:rsidR="00A5469C" w:rsidRPr="003519E9" w:rsidRDefault="00A5469C" w:rsidP="00A5469C">
      <w:pPr>
        <w:pStyle w:val="Default"/>
        <w:spacing w:after="360" w:line="360" w:lineRule="auto"/>
        <w:ind w:left="2160"/>
        <w:jc w:val="center"/>
        <w:rPr>
          <w:b/>
          <w:i/>
          <w:sz w:val="32"/>
          <w:szCs w:val="32"/>
        </w:rPr>
      </w:pPr>
      <w:r w:rsidRPr="002140E0">
        <w:rPr>
          <w:b/>
          <w:i/>
          <w:sz w:val="32"/>
          <w:szCs w:val="32"/>
        </w:rPr>
        <w:t>&lt;&lt;</w:t>
      </w:r>
      <w:r>
        <w:rPr>
          <w:b/>
          <w:i/>
          <w:sz w:val="32"/>
          <w:szCs w:val="32"/>
        </w:rPr>
        <w:t>CLICK TO NEXT SLIDE&gt;&gt;</w:t>
      </w:r>
    </w:p>
    <w:p w14:paraId="66602F89" w14:textId="3AC532B5" w:rsidR="00A5469C" w:rsidRPr="003C31D9" w:rsidRDefault="00C86ECB" w:rsidP="00A5469C">
      <w:pPr>
        <w:pStyle w:val="Default"/>
        <w:spacing w:after="360" w:line="360" w:lineRule="auto"/>
        <w:ind w:left="2160"/>
        <w:rPr>
          <w:sz w:val="32"/>
          <w:szCs w:val="32"/>
        </w:rPr>
      </w:pPr>
      <w:r w:rsidRPr="00C86ECB">
        <w:rPr>
          <w:noProof/>
          <w:sz w:val="32"/>
          <w:szCs w:val="32"/>
        </w:rPr>
        <w:lastRenderedPageBreak/>
        <w:drawing>
          <wp:inline distT="0" distB="0" distL="0" distR="0" wp14:anchorId="3A370F23" wp14:editId="6D4C9332">
            <wp:extent cx="4572638" cy="2572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2572109"/>
                    </a:xfrm>
                    <a:prstGeom prst="rect">
                      <a:avLst/>
                    </a:prstGeom>
                  </pic:spPr>
                </pic:pic>
              </a:graphicData>
            </a:graphic>
          </wp:inline>
        </w:drawing>
      </w:r>
    </w:p>
    <w:p w14:paraId="130C9761" w14:textId="7C2AAFCC" w:rsidR="00A5469C" w:rsidRDefault="00DA5AEF" w:rsidP="00A5469C">
      <w:pPr>
        <w:pStyle w:val="Default"/>
        <w:spacing w:after="360" w:line="360" w:lineRule="auto"/>
        <w:ind w:left="2160"/>
        <w:rPr>
          <w:sz w:val="32"/>
          <w:szCs w:val="32"/>
        </w:rPr>
      </w:pPr>
      <w:r>
        <w:rPr>
          <w:sz w:val="32"/>
          <w:szCs w:val="32"/>
        </w:rPr>
        <w:t>For example</w:t>
      </w:r>
      <w:r w:rsidR="00A5469C" w:rsidRPr="003A2CC3">
        <w:rPr>
          <w:sz w:val="32"/>
          <w:szCs w:val="32"/>
        </w:rPr>
        <w:t xml:space="preserve">, </w:t>
      </w:r>
      <w:r>
        <w:rPr>
          <w:sz w:val="32"/>
          <w:szCs w:val="32"/>
        </w:rPr>
        <w:t xml:space="preserve">in the United States, </w:t>
      </w:r>
      <w:proofErr w:type="gramStart"/>
      <w:r w:rsidR="00A5469C" w:rsidRPr="003A2CC3">
        <w:rPr>
          <w:sz w:val="32"/>
          <w:szCs w:val="32"/>
        </w:rPr>
        <w:t>95 percent of the $13.1 trillion in US equity and bond mutual fund assets are held by</w:t>
      </w:r>
      <w:r w:rsidR="00A5469C">
        <w:rPr>
          <w:sz w:val="32"/>
          <w:szCs w:val="32"/>
        </w:rPr>
        <w:t xml:space="preserve"> </w:t>
      </w:r>
      <w:r w:rsidR="00A5469C" w:rsidRPr="003A2CC3">
        <w:rPr>
          <w:sz w:val="32"/>
          <w:szCs w:val="32"/>
        </w:rPr>
        <w:t>households</w:t>
      </w:r>
      <w:proofErr w:type="gramEnd"/>
      <w:r w:rsidR="00A5469C" w:rsidRPr="003A2CC3">
        <w:rPr>
          <w:sz w:val="32"/>
          <w:szCs w:val="32"/>
        </w:rPr>
        <w:t xml:space="preserve">. </w:t>
      </w:r>
      <w:r w:rsidR="00EB3200">
        <w:rPr>
          <w:sz w:val="32"/>
          <w:szCs w:val="32"/>
        </w:rPr>
        <w:t xml:space="preserve"> </w:t>
      </w:r>
      <w:r>
        <w:rPr>
          <w:sz w:val="32"/>
          <w:szCs w:val="32"/>
        </w:rPr>
        <w:t>Or l</w:t>
      </w:r>
      <w:r w:rsidR="00A5469C" w:rsidRPr="003A2CC3">
        <w:rPr>
          <w:sz w:val="32"/>
          <w:szCs w:val="32"/>
        </w:rPr>
        <w:t>ooked at another way, 53 percent is held in retirement accounts.</w:t>
      </w:r>
      <w:r w:rsidR="00A5469C">
        <w:rPr>
          <w:sz w:val="32"/>
          <w:szCs w:val="32"/>
        </w:rPr>
        <w:t xml:space="preserve"> </w:t>
      </w:r>
      <w:r w:rsidR="00EB3200">
        <w:rPr>
          <w:sz w:val="32"/>
          <w:szCs w:val="32"/>
        </w:rPr>
        <w:t xml:space="preserve"> </w:t>
      </w:r>
    </w:p>
    <w:p w14:paraId="284B4EAE" w14:textId="04D8DBEF" w:rsidR="00D404D6" w:rsidRDefault="00425BEB" w:rsidP="00D404D6">
      <w:pPr>
        <w:pStyle w:val="Default"/>
        <w:spacing w:after="360" w:line="360" w:lineRule="auto"/>
        <w:ind w:left="2160"/>
        <w:rPr>
          <w:sz w:val="32"/>
          <w:szCs w:val="32"/>
        </w:rPr>
      </w:pPr>
      <w:r>
        <w:rPr>
          <w:sz w:val="32"/>
          <w:szCs w:val="32"/>
        </w:rPr>
        <w:t>Another theory that the FSB and other policymakers are focused on is</w:t>
      </w:r>
      <w:r w:rsidR="00D404D6">
        <w:rPr>
          <w:sz w:val="32"/>
          <w:szCs w:val="32"/>
        </w:rPr>
        <w:t xml:space="preserve"> that the structure of a mutual fund creates a “first mover advantage.”</w:t>
      </w:r>
      <w:r w:rsidR="009368F5">
        <w:rPr>
          <w:sz w:val="32"/>
          <w:szCs w:val="32"/>
        </w:rPr>
        <w:t xml:space="preserve"> </w:t>
      </w:r>
      <w:r>
        <w:rPr>
          <w:sz w:val="32"/>
          <w:szCs w:val="32"/>
        </w:rPr>
        <w:t xml:space="preserve"> </w:t>
      </w:r>
    </w:p>
    <w:p w14:paraId="299EE35C" w14:textId="0E7A08E3" w:rsidR="00D404D6" w:rsidRDefault="00D404D6" w:rsidP="00D404D6">
      <w:pPr>
        <w:pStyle w:val="Default"/>
        <w:spacing w:after="360" w:line="360" w:lineRule="auto"/>
        <w:ind w:left="2160"/>
        <w:rPr>
          <w:sz w:val="32"/>
          <w:szCs w:val="32"/>
        </w:rPr>
      </w:pPr>
      <w:r>
        <w:rPr>
          <w:sz w:val="32"/>
          <w:szCs w:val="32"/>
        </w:rPr>
        <w:t xml:space="preserve">As we all know, fund investors own a portion of the fund, which among other things, means </w:t>
      </w:r>
      <w:r w:rsidR="00C86ECB">
        <w:rPr>
          <w:sz w:val="32"/>
          <w:szCs w:val="32"/>
        </w:rPr>
        <w:t xml:space="preserve">that </w:t>
      </w:r>
      <w:r>
        <w:rPr>
          <w:sz w:val="32"/>
          <w:szCs w:val="32"/>
        </w:rPr>
        <w:t>they share trading costs with other investors.</w:t>
      </w:r>
      <w:r w:rsidR="009368F5">
        <w:rPr>
          <w:sz w:val="32"/>
          <w:szCs w:val="32"/>
        </w:rPr>
        <w:t xml:space="preserve"> </w:t>
      </w:r>
      <w:r w:rsidR="00425BEB">
        <w:rPr>
          <w:sz w:val="32"/>
          <w:szCs w:val="32"/>
        </w:rPr>
        <w:t xml:space="preserve"> </w:t>
      </w:r>
    </w:p>
    <w:p w14:paraId="4F84FAF1" w14:textId="7AB3B49E" w:rsidR="00D404D6" w:rsidRDefault="00D404D6" w:rsidP="00D404D6">
      <w:pPr>
        <w:pStyle w:val="Default"/>
        <w:spacing w:after="360" w:line="360" w:lineRule="auto"/>
        <w:ind w:left="2160"/>
      </w:pPr>
      <w:r>
        <w:rPr>
          <w:sz w:val="32"/>
          <w:szCs w:val="32"/>
        </w:rPr>
        <w:t xml:space="preserve">The first mover advantage theory says that because fund investors share trading costs, which </w:t>
      </w:r>
      <w:r>
        <w:rPr>
          <w:sz w:val="32"/>
          <w:szCs w:val="32"/>
        </w:rPr>
        <w:lastRenderedPageBreak/>
        <w:t>cumulate as more investors leave a fund, investors have an incentive to be the “first mover” during times of financial stress, which could lead to runs.</w:t>
      </w:r>
      <w:r w:rsidR="009368F5">
        <w:rPr>
          <w:sz w:val="32"/>
          <w:szCs w:val="32"/>
        </w:rPr>
        <w:t xml:space="preserve"> </w:t>
      </w:r>
      <w:r w:rsidR="00425BEB">
        <w:rPr>
          <w:sz w:val="32"/>
          <w:szCs w:val="32"/>
        </w:rPr>
        <w:t xml:space="preserve"> </w:t>
      </w:r>
    </w:p>
    <w:p w14:paraId="3B9BC412" w14:textId="37AB3812" w:rsidR="00D404D6" w:rsidRPr="00223355" w:rsidRDefault="00D404D6" w:rsidP="00D404D6">
      <w:pPr>
        <w:pStyle w:val="Default"/>
        <w:spacing w:after="360" w:line="360" w:lineRule="auto"/>
        <w:ind w:left="2160"/>
      </w:pPr>
      <w:r>
        <w:rPr>
          <w:sz w:val="32"/>
          <w:szCs w:val="32"/>
        </w:rPr>
        <w:t>For example,</w:t>
      </w:r>
      <w:r w:rsidRPr="00223355">
        <w:rPr>
          <w:rFonts w:ascii="Calibri" w:eastAsia="Calibri" w:hAnsi="Calibri" w:cs="Times New Roman"/>
          <w:color w:val="auto"/>
          <w:sz w:val="32"/>
          <w:szCs w:val="32"/>
        </w:rPr>
        <w:t xml:space="preserve"> </w:t>
      </w:r>
      <w:r>
        <w:rPr>
          <w:sz w:val="32"/>
          <w:szCs w:val="32"/>
        </w:rPr>
        <w:t>if an</w:t>
      </w:r>
      <w:r w:rsidRPr="00223355">
        <w:rPr>
          <w:sz w:val="32"/>
          <w:szCs w:val="32"/>
        </w:rPr>
        <w:t xml:space="preserve"> investor left a fund and the manager had to sell securities to accommodate the redemption, both the investor leaving the fund and the investors </w:t>
      </w:r>
      <w:r>
        <w:rPr>
          <w:sz w:val="32"/>
          <w:szCs w:val="32"/>
        </w:rPr>
        <w:t>staying</w:t>
      </w:r>
      <w:r w:rsidRPr="00223355">
        <w:rPr>
          <w:sz w:val="32"/>
          <w:szCs w:val="32"/>
        </w:rPr>
        <w:t xml:space="preserve"> </w:t>
      </w:r>
      <w:r>
        <w:rPr>
          <w:sz w:val="32"/>
          <w:szCs w:val="32"/>
        </w:rPr>
        <w:t>in</w:t>
      </w:r>
      <w:r w:rsidRPr="00223355">
        <w:rPr>
          <w:sz w:val="32"/>
          <w:szCs w:val="32"/>
        </w:rPr>
        <w:t xml:space="preserve"> the fund would bear the trading costs</w:t>
      </w:r>
      <w:proofErr w:type="gramStart"/>
      <w:r w:rsidRPr="00223355">
        <w:rPr>
          <w:sz w:val="32"/>
          <w:szCs w:val="32"/>
        </w:rPr>
        <w:t>.</w:t>
      </w:r>
      <w:r w:rsidR="009368F5">
        <w:rPr>
          <w:sz w:val="32"/>
          <w:szCs w:val="32"/>
        </w:rPr>
        <w:t xml:space="preserve"> </w:t>
      </w:r>
      <w:r w:rsidR="00425BEB">
        <w:rPr>
          <w:sz w:val="32"/>
          <w:szCs w:val="32"/>
        </w:rPr>
        <w:t xml:space="preserve"> </w:t>
      </w:r>
      <w:proofErr w:type="gramEnd"/>
      <w:r>
        <w:rPr>
          <w:sz w:val="32"/>
          <w:szCs w:val="32"/>
        </w:rPr>
        <w:t>If more investors left, the remaining investors would have to bear more and more trading costs.</w:t>
      </w:r>
      <w:r w:rsidR="00425BEB">
        <w:rPr>
          <w:sz w:val="32"/>
          <w:szCs w:val="32"/>
        </w:rPr>
        <w:t xml:space="preserve"> </w:t>
      </w:r>
    </w:p>
    <w:p w14:paraId="61BDBC2E" w14:textId="22E8DF14" w:rsidR="00D404D6" w:rsidRDefault="00D404D6" w:rsidP="00D404D6">
      <w:pPr>
        <w:pStyle w:val="Default"/>
        <w:spacing w:after="360" w:line="360" w:lineRule="auto"/>
        <w:ind w:left="2160"/>
        <w:rPr>
          <w:sz w:val="32"/>
          <w:szCs w:val="32"/>
        </w:rPr>
      </w:pPr>
      <w:r>
        <w:rPr>
          <w:sz w:val="32"/>
          <w:szCs w:val="32"/>
        </w:rPr>
        <w:t>Thus, the remaining investors would be paying higher trading costs than those paid by the “first movers.</w:t>
      </w:r>
      <w:proofErr w:type="gramStart"/>
      <w:r>
        <w:rPr>
          <w:sz w:val="32"/>
          <w:szCs w:val="32"/>
        </w:rPr>
        <w:t>”</w:t>
      </w:r>
      <w:r w:rsidR="009368F5">
        <w:rPr>
          <w:sz w:val="32"/>
          <w:szCs w:val="32"/>
        </w:rPr>
        <w:t xml:space="preserve"> </w:t>
      </w:r>
      <w:r w:rsidR="00425BEB">
        <w:rPr>
          <w:sz w:val="32"/>
          <w:szCs w:val="32"/>
        </w:rPr>
        <w:t xml:space="preserve"> </w:t>
      </w:r>
      <w:proofErr w:type="gramEnd"/>
      <w:r>
        <w:rPr>
          <w:sz w:val="32"/>
          <w:szCs w:val="32"/>
        </w:rPr>
        <w:t xml:space="preserve">The FSB is concerned that in times of financial stress, this theoretical “advantage” could provide an incentive for investors to leave the fund “first,” which could lead to a run. </w:t>
      </w:r>
      <w:r w:rsidR="00425BEB">
        <w:rPr>
          <w:sz w:val="32"/>
          <w:szCs w:val="32"/>
        </w:rPr>
        <w:t xml:space="preserve"> </w:t>
      </w:r>
    </w:p>
    <w:p w14:paraId="46E92227" w14:textId="5AC2C5B3" w:rsidR="00D404D6" w:rsidRDefault="00D404D6" w:rsidP="00D404D6">
      <w:pPr>
        <w:ind w:left="2160"/>
        <w:rPr>
          <w:rFonts w:ascii="Arial" w:hAnsi="Arial" w:cs="Arial"/>
        </w:rPr>
      </w:pPr>
      <w:r w:rsidRPr="00223355">
        <w:rPr>
          <w:rFonts w:ascii="Arial" w:hAnsi="Arial" w:cs="Arial"/>
        </w:rPr>
        <w:t xml:space="preserve">US fund managers, however, </w:t>
      </w:r>
      <w:r>
        <w:rPr>
          <w:rFonts w:ascii="Arial" w:hAnsi="Arial" w:cs="Arial"/>
        </w:rPr>
        <w:t>are able to manage these costs so as not to</w:t>
      </w:r>
      <w:r w:rsidRPr="00223355">
        <w:rPr>
          <w:rFonts w:ascii="Arial" w:hAnsi="Arial" w:cs="Arial"/>
        </w:rPr>
        <w:t xml:space="preserve"> disadvantage their remaining shareholders.</w:t>
      </w:r>
      <w:r w:rsidR="009368F5">
        <w:rPr>
          <w:rFonts w:ascii="Arial" w:hAnsi="Arial" w:cs="Arial"/>
        </w:rPr>
        <w:t xml:space="preserve"> </w:t>
      </w:r>
      <w:r w:rsidR="00425BEB">
        <w:rPr>
          <w:rFonts w:ascii="Arial" w:hAnsi="Arial" w:cs="Arial"/>
        </w:rPr>
        <w:t xml:space="preserve"> </w:t>
      </w:r>
    </w:p>
    <w:p w14:paraId="78D00C27" w14:textId="77777777" w:rsidR="00D404D6" w:rsidRDefault="00D404D6" w:rsidP="00D404D6">
      <w:pPr>
        <w:pStyle w:val="Default"/>
        <w:spacing w:after="360" w:line="360" w:lineRule="auto"/>
        <w:ind w:left="2160"/>
        <w:jc w:val="center"/>
        <w:rPr>
          <w:b/>
          <w:i/>
        </w:rPr>
      </w:pPr>
      <w:r w:rsidRPr="002140E0">
        <w:rPr>
          <w:b/>
          <w:i/>
          <w:sz w:val="32"/>
          <w:szCs w:val="32"/>
        </w:rPr>
        <w:t>&lt;&lt;</w:t>
      </w:r>
      <w:r>
        <w:rPr>
          <w:b/>
          <w:i/>
          <w:sz w:val="32"/>
          <w:szCs w:val="32"/>
        </w:rPr>
        <w:t>CLICK TO NEXT SLIDE&gt;&gt;</w:t>
      </w:r>
    </w:p>
    <w:p w14:paraId="606F3A23" w14:textId="2154C752" w:rsidR="00D404D6" w:rsidRPr="00223355" w:rsidRDefault="00C86ECB" w:rsidP="00D404D6">
      <w:pPr>
        <w:pStyle w:val="Default"/>
        <w:spacing w:after="360" w:line="360" w:lineRule="auto"/>
        <w:ind w:left="2160"/>
        <w:jc w:val="center"/>
        <w:rPr>
          <w:b/>
          <w:i/>
        </w:rPr>
      </w:pPr>
      <w:r w:rsidRPr="00C86ECB">
        <w:rPr>
          <w:b/>
          <w:i/>
          <w:noProof/>
        </w:rPr>
        <w:lastRenderedPageBreak/>
        <w:drawing>
          <wp:inline distT="0" distB="0" distL="0" distR="0" wp14:anchorId="4C6F4903" wp14:editId="6450E914">
            <wp:extent cx="4572638" cy="257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2572109"/>
                    </a:xfrm>
                    <a:prstGeom prst="rect">
                      <a:avLst/>
                    </a:prstGeom>
                  </pic:spPr>
                </pic:pic>
              </a:graphicData>
            </a:graphic>
          </wp:inline>
        </w:drawing>
      </w:r>
    </w:p>
    <w:p w14:paraId="2616483A" w14:textId="7D275025" w:rsidR="00D404D6" w:rsidRDefault="00D404D6" w:rsidP="00D404D6">
      <w:pPr>
        <w:ind w:left="2160"/>
        <w:rPr>
          <w:rFonts w:ascii="Arial" w:hAnsi="Arial" w:cs="Arial"/>
        </w:rPr>
      </w:pPr>
      <w:r w:rsidRPr="00223355">
        <w:rPr>
          <w:rFonts w:ascii="Arial" w:hAnsi="Arial" w:cs="Arial"/>
        </w:rPr>
        <w:t>First, fund managers are required to mark-to-market their funds’ portfolios on a daily basis, using for</w:t>
      </w:r>
      <w:r>
        <w:rPr>
          <w:rFonts w:ascii="Arial" w:hAnsi="Arial" w:cs="Arial"/>
        </w:rPr>
        <w:t xml:space="preserve">ward pricing and fair valuation </w:t>
      </w:r>
      <w:r w:rsidRPr="00223355">
        <w:rPr>
          <w:rFonts w:ascii="Arial" w:hAnsi="Arial" w:cs="Arial"/>
        </w:rPr>
        <w:t>methods to avoid predictable price movements.</w:t>
      </w:r>
      <w:r w:rsidR="009368F5">
        <w:rPr>
          <w:rFonts w:ascii="Arial" w:hAnsi="Arial" w:cs="Arial"/>
        </w:rPr>
        <w:t xml:space="preserve"> </w:t>
      </w:r>
      <w:r w:rsidR="00425BEB">
        <w:rPr>
          <w:rFonts w:ascii="Arial" w:hAnsi="Arial" w:cs="Arial"/>
        </w:rPr>
        <w:t xml:space="preserve"> </w:t>
      </w:r>
    </w:p>
    <w:p w14:paraId="3FDDA80C" w14:textId="683A9FC3" w:rsidR="00D404D6" w:rsidRDefault="00D404D6" w:rsidP="00D404D6">
      <w:pPr>
        <w:ind w:left="2160"/>
        <w:rPr>
          <w:rFonts w:ascii="Arial" w:hAnsi="Arial" w:cs="Arial"/>
        </w:rPr>
      </w:pPr>
      <w:r>
        <w:rPr>
          <w:rFonts w:ascii="Arial" w:hAnsi="Arial" w:cs="Arial"/>
        </w:rPr>
        <w:t>Fund</w:t>
      </w:r>
      <w:r w:rsidRPr="00223355">
        <w:rPr>
          <w:rFonts w:ascii="Arial" w:hAnsi="Arial" w:cs="Arial"/>
        </w:rPr>
        <w:t xml:space="preserve"> managers are required to either use the price that they could sell the security for, known as the bid price, or use the price that is at the mid-point between the </w:t>
      </w:r>
      <w:proofErr w:type="gramStart"/>
      <w:r w:rsidRPr="00223355">
        <w:rPr>
          <w:rFonts w:ascii="Arial" w:hAnsi="Arial" w:cs="Arial"/>
        </w:rPr>
        <w:t>bid</w:t>
      </w:r>
      <w:proofErr w:type="gramEnd"/>
      <w:r w:rsidRPr="00223355">
        <w:rPr>
          <w:rFonts w:ascii="Arial" w:hAnsi="Arial" w:cs="Arial"/>
        </w:rPr>
        <w:t xml:space="preserve"> and ask price.</w:t>
      </w:r>
      <w:r w:rsidR="009368F5">
        <w:rPr>
          <w:rFonts w:ascii="Arial" w:hAnsi="Arial" w:cs="Arial"/>
        </w:rPr>
        <w:t xml:space="preserve"> </w:t>
      </w:r>
      <w:r w:rsidR="00425BEB">
        <w:rPr>
          <w:rFonts w:ascii="Arial" w:hAnsi="Arial" w:cs="Arial"/>
        </w:rPr>
        <w:t xml:space="preserve"> </w:t>
      </w:r>
    </w:p>
    <w:p w14:paraId="35849912" w14:textId="2C0FF3A7" w:rsidR="00D404D6" w:rsidRDefault="00D404D6" w:rsidP="00D404D6">
      <w:pPr>
        <w:ind w:left="2160"/>
        <w:rPr>
          <w:rFonts w:ascii="Arial" w:hAnsi="Arial" w:cs="Arial"/>
        </w:rPr>
      </w:pPr>
      <w:r w:rsidRPr="00223355">
        <w:rPr>
          <w:rFonts w:ascii="Arial" w:hAnsi="Arial" w:cs="Arial"/>
        </w:rPr>
        <w:t>Using a bid- or mid-price passes some of the trading costs along to the investor leaving the fund because this pricing method values the shares near to what the fund would receive if it needed to sell assets to accommodate the redemption.</w:t>
      </w:r>
      <w:r w:rsidR="009368F5">
        <w:rPr>
          <w:rFonts w:ascii="Arial" w:hAnsi="Arial" w:cs="Arial"/>
        </w:rPr>
        <w:t xml:space="preserve"> </w:t>
      </w:r>
      <w:r w:rsidR="00425BEB">
        <w:rPr>
          <w:rFonts w:ascii="Arial" w:hAnsi="Arial" w:cs="Arial"/>
        </w:rPr>
        <w:t xml:space="preserve"> </w:t>
      </w:r>
    </w:p>
    <w:p w14:paraId="3AF110AB" w14:textId="7B031226" w:rsidR="00D404D6" w:rsidRDefault="00D404D6" w:rsidP="00D404D6">
      <w:pPr>
        <w:ind w:left="2160"/>
        <w:rPr>
          <w:rFonts w:ascii="Arial" w:hAnsi="Arial" w:cs="Arial"/>
        </w:rPr>
      </w:pPr>
      <w:r w:rsidRPr="00223355">
        <w:rPr>
          <w:rFonts w:ascii="Arial" w:hAnsi="Arial" w:cs="Arial"/>
        </w:rPr>
        <w:lastRenderedPageBreak/>
        <w:t xml:space="preserve">Another way that funds manage costs is by imposing redemption fees on investors who leave a fund within a certain window of time after </w:t>
      </w:r>
      <w:r>
        <w:rPr>
          <w:rFonts w:ascii="Arial" w:hAnsi="Arial" w:cs="Arial"/>
        </w:rPr>
        <w:t>they invest in it</w:t>
      </w:r>
      <w:r w:rsidRPr="00223355">
        <w:rPr>
          <w:rFonts w:ascii="Arial" w:hAnsi="Arial" w:cs="Arial"/>
        </w:rPr>
        <w:t>.</w:t>
      </w:r>
      <w:r w:rsidR="009368F5">
        <w:rPr>
          <w:rFonts w:ascii="Arial" w:hAnsi="Arial" w:cs="Arial"/>
        </w:rPr>
        <w:t xml:space="preserve"> </w:t>
      </w:r>
      <w:r w:rsidR="00425BEB">
        <w:rPr>
          <w:rFonts w:ascii="Arial" w:hAnsi="Arial" w:cs="Arial"/>
        </w:rPr>
        <w:t xml:space="preserve"> </w:t>
      </w:r>
    </w:p>
    <w:p w14:paraId="4D1954C0" w14:textId="3FDC3CC2" w:rsidR="00D404D6" w:rsidRDefault="00D404D6" w:rsidP="00D404D6">
      <w:pPr>
        <w:ind w:left="2160"/>
        <w:rPr>
          <w:rFonts w:ascii="Arial" w:hAnsi="Arial" w:cs="Arial"/>
        </w:rPr>
      </w:pPr>
      <w:r w:rsidRPr="00223355">
        <w:rPr>
          <w:rFonts w:ascii="Arial" w:hAnsi="Arial" w:cs="Arial"/>
        </w:rPr>
        <w:t xml:space="preserve">In addition, most funds also reserve the right to redeem shares in kind if investors with </w:t>
      </w:r>
      <w:r>
        <w:rPr>
          <w:rFonts w:ascii="Arial" w:hAnsi="Arial" w:cs="Arial"/>
        </w:rPr>
        <w:t>especial</w:t>
      </w:r>
      <w:r w:rsidRPr="00223355">
        <w:rPr>
          <w:rFonts w:ascii="Arial" w:hAnsi="Arial" w:cs="Arial"/>
        </w:rPr>
        <w:t>ly large trades want to quickly redeem their shares, so that rather than receiving cash the investor</w:t>
      </w:r>
      <w:r>
        <w:rPr>
          <w:rFonts w:ascii="Arial" w:hAnsi="Arial" w:cs="Arial"/>
        </w:rPr>
        <w:t>s</w:t>
      </w:r>
      <w:r w:rsidRPr="00223355">
        <w:rPr>
          <w:rFonts w:ascii="Arial" w:hAnsi="Arial" w:cs="Arial"/>
        </w:rPr>
        <w:t xml:space="preserve"> </w:t>
      </w:r>
      <w:r>
        <w:rPr>
          <w:rFonts w:ascii="Arial" w:hAnsi="Arial" w:cs="Arial"/>
        </w:rPr>
        <w:t>are</w:t>
      </w:r>
      <w:r w:rsidRPr="00223355">
        <w:rPr>
          <w:rFonts w:ascii="Arial" w:hAnsi="Arial" w:cs="Arial"/>
        </w:rPr>
        <w:t xml:space="preserve"> paid with a slice of securities.</w:t>
      </w:r>
      <w:r w:rsidR="009368F5">
        <w:rPr>
          <w:rFonts w:ascii="Arial" w:hAnsi="Arial" w:cs="Arial"/>
        </w:rPr>
        <w:t xml:space="preserve"> </w:t>
      </w:r>
      <w:r w:rsidR="00425BEB">
        <w:rPr>
          <w:rFonts w:ascii="Arial" w:hAnsi="Arial" w:cs="Arial"/>
        </w:rPr>
        <w:t xml:space="preserve"> </w:t>
      </w:r>
    </w:p>
    <w:p w14:paraId="5BDE43E8" w14:textId="7F13A92D" w:rsidR="009103E1" w:rsidRDefault="00693614" w:rsidP="009103E1">
      <w:pPr>
        <w:pStyle w:val="Default"/>
        <w:spacing w:after="360" w:line="360" w:lineRule="auto"/>
        <w:ind w:left="2160"/>
        <w:rPr>
          <w:sz w:val="32"/>
          <w:szCs w:val="32"/>
        </w:rPr>
      </w:pPr>
      <w:r>
        <w:rPr>
          <w:sz w:val="32"/>
          <w:szCs w:val="32"/>
        </w:rPr>
        <w:t xml:space="preserve">This ability to manage liquidity and redemption costs </w:t>
      </w:r>
      <w:r w:rsidR="006F2868">
        <w:rPr>
          <w:sz w:val="32"/>
          <w:szCs w:val="32"/>
        </w:rPr>
        <w:t>speaks to the</w:t>
      </w:r>
      <w:r w:rsidR="009103E1">
        <w:rPr>
          <w:sz w:val="32"/>
          <w:szCs w:val="32"/>
        </w:rPr>
        <w:t xml:space="preserve"> four main reasons why </w:t>
      </w:r>
      <w:r w:rsidR="00C86ECB">
        <w:rPr>
          <w:sz w:val="32"/>
          <w:szCs w:val="32"/>
        </w:rPr>
        <w:t xml:space="preserve">US regulated </w:t>
      </w:r>
      <w:r w:rsidR="009103E1">
        <w:rPr>
          <w:sz w:val="32"/>
          <w:szCs w:val="32"/>
        </w:rPr>
        <w:t>funds do not pose threat to financial security.</w:t>
      </w:r>
      <w:r w:rsidR="00425BEB">
        <w:rPr>
          <w:sz w:val="32"/>
          <w:szCs w:val="32"/>
        </w:rPr>
        <w:t xml:space="preserve">  </w:t>
      </w:r>
    </w:p>
    <w:p w14:paraId="124D919F" w14:textId="4143838F" w:rsidR="006F2868" w:rsidRPr="006F2868" w:rsidRDefault="009103E1" w:rsidP="006F2868">
      <w:pPr>
        <w:pStyle w:val="Default"/>
        <w:numPr>
          <w:ilvl w:val="0"/>
          <w:numId w:val="11"/>
        </w:numPr>
        <w:spacing w:after="360" w:line="360" w:lineRule="auto"/>
        <w:rPr>
          <w:color w:val="auto"/>
          <w:sz w:val="32"/>
          <w:szCs w:val="32"/>
        </w:rPr>
      </w:pPr>
      <w:r>
        <w:rPr>
          <w:color w:val="auto"/>
          <w:sz w:val="32"/>
          <w:szCs w:val="32"/>
        </w:rPr>
        <w:t xml:space="preserve">First, </w:t>
      </w:r>
      <w:r w:rsidRPr="009103E1">
        <w:rPr>
          <w:color w:val="auto"/>
          <w:sz w:val="32"/>
          <w:szCs w:val="32"/>
        </w:rPr>
        <w:t xml:space="preserve">the </w:t>
      </w:r>
      <w:r w:rsidRPr="009103E1">
        <w:rPr>
          <w:rFonts w:eastAsia="Times New Roman"/>
          <w:color w:val="auto"/>
          <w:sz w:val="32"/>
          <w:szCs w:val="32"/>
        </w:rPr>
        <w:t>structure and comprehensive regulation of mutual funds and their managers not only protect investors, but limit systemic risks and the transmission of risk</w:t>
      </w:r>
      <w:proofErr w:type="gramStart"/>
      <w:r w:rsidRPr="009103E1">
        <w:rPr>
          <w:rFonts w:eastAsia="Times New Roman"/>
          <w:color w:val="auto"/>
          <w:sz w:val="32"/>
          <w:szCs w:val="32"/>
        </w:rPr>
        <w:t>.</w:t>
      </w:r>
      <w:r w:rsidR="009368F5">
        <w:rPr>
          <w:rFonts w:eastAsia="Times New Roman"/>
          <w:color w:val="auto"/>
          <w:sz w:val="32"/>
          <w:szCs w:val="32"/>
        </w:rPr>
        <w:t xml:space="preserve"> </w:t>
      </w:r>
      <w:r w:rsidR="00425BEB">
        <w:rPr>
          <w:rFonts w:eastAsia="Times New Roman"/>
          <w:color w:val="auto"/>
          <w:sz w:val="32"/>
          <w:szCs w:val="32"/>
        </w:rPr>
        <w:t xml:space="preserve"> </w:t>
      </w:r>
      <w:proofErr w:type="gramEnd"/>
      <w:r w:rsidR="006F2868">
        <w:rPr>
          <w:rFonts w:eastAsia="Times New Roman"/>
          <w:color w:val="auto"/>
          <w:sz w:val="32"/>
          <w:szCs w:val="32"/>
        </w:rPr>
        <w:t xml:space="preserve">Most notably, each regulated fund is a separate legal entity, meaning that </w:t>
      </w:r>
      <w:proofErr w:type="gramStart"/>
      <w:r w:rsidR="006F2868">
        <w:rPr>
          <w:rFonts w:eastAsia="Times New Roman"/>
          <w:color w:val="auto"/>
          <w:sz w:val="32"/>
          <w:szCs w:val="32"/>
        </w:rPr>
        <w:t xml:space="preserve">the losses of one regulated fund are not </w:t>
      </w:r>
      <w:r w:rsidR="006F2868">
        <w:rPr>
          <w:rFonts w:eastAsia="Times New Roman"/>
          <w:color w:val="auto"/>
          <w:sz w:val="32"/>
          <w:szCs w:val="32"/>
        </w:rPr>
        <w:lastRenderedPageBreak/>
        <w:t>absorbed by other funds or the fund manager</w:t>
      </w:r>
      <w:proofErr w:type="gramEnd"/>
      <w:r w:rsidR="006F2868">
        <w:rPr>
          <w:rFonts w:eastAsia="Times New Roman"/>
          <w:color w:val="auto"/>
          <w:sz w:val="32"/>
          <w:szCs w:val="32"/>
        </w:rPr>
        <w:t>.</w:t>
      </w:r>
      <w:r w:rsidR="00425BEB">
        <w:rPr>
          <w:rFonts w:eastAsia="Times New Roman"/>
          <w:color w:val="auto"/>
          <w:sz w:val="32"/>
          <w:szCs w:val="32"/>
        </w:rPr>
        <w:t xml:space="preserve">  </w:t>
      </w:r>
    </w:p>
    <w:p w14:paraId="33FA8E44" w14:textId="561AD439" w:rsidR="00976EAE" w:rsidRPr="00976EAE" w:rsidRDefault="009103E1" w:rsidP="009103E1">
      <w:pPr>
        <w:pStyle w:val="Default"/>
        <w:numPr>
          <w:ilvl w:val="0"/>
          <w:numId w:val="11"/>
        </w:numPr>
        <w:spacing w:after="360" w:line="360" w:lineRule="auto"/>
        <w:rPr>
          <w:color w:val="auto"/>
          <w:sz w:val="32"/>
          <w:szCs w:val="32"/>
        </w:rPr>
      </w:pPr>
      <w:r>
        <w:rPr>
          <w:sz w:val="32"/>
          <w:szCs w:val="32"/>
        </w:rPr>
        <w:t>Second,</w:t>
      </w:r>
      <w:r w:rsidR="00C86ECB">
        <w:rPr>
          <w:sz w:val="32"/>
          <w:szCs w:val="32"/>
        </w:rPr>
        <w:t xml:space="preserve"> as we saw earlier,</w:t>
      </w:r>
      <w:r>
        <w:rPr>
          <w:sz w:val="32"/>
          <w:szCs w:val="32"/>
        </w:rPr>
        <w:t xml:space="preserve"> </w:t>
      </w:r>
      <w:r w:rsidR="00976EAE">
        <w:rPr>
          <w:sz w:val="32"/>
          <w:szCs w:val="32"/>
        </w:rPr>
        <w:t>investors do not “herd,” because regulated fund investors tend to be long-term, stable investors.</w:t>
      </w:r>
      <w:r w:rsidR="00425BEB">
        <w:rPr>
          <w:sz w:val="32"/>
          <w:szCs w:val="32"/>
        </w:rPr>
        <w:t xml:space="preserve">  </w:t>
      </w:r>
    </w:p>
    <w:p w14:paraId="2C9CDF03" w14:textId="719DC76F" w:rsidR="00580984" w:rsidRPr="00580984" w:rsidRDefault="00976EAE" w:rsidP="006F2868">
      <w:pPr>
        <w:pStyle w:val="Default"/>
        <w:numPr>
          <w:ilvl w:val="0"/>
          <w:numId w:val="11"/>
        </w:numPr>
        <w:spacing w:after="360" w:line="360" w:lineRule="auto"/>
        <w:rPr>
          <w:color w:val="auto"/>
          <w:sz w:val="32"/>
          <w:szCs w:val="32"/>
        </w:rPr>
      </w:pPr>
      <w:r>
        <w:rPr>
          <w:sz w:val="32"/>
          <w:szCs w:val="32"/>
        </w:rPr>
        <w:t>Third, regulated funds do not “fail” like banks do, but instead routinely exit the business in an orderly fashion through mergers and liquidations</w:t>
      </w:r>
      <w:proofErr w:type="gramStart"/>
      <w:r>
        <w:rPr>
          <w:sz w:val="32"/>
          <w:szCs w:val="32"/>
        </w:rPr>
        <w:t>.</w:t>
      </w:r>
      <w:r w:rsidR="009368F5">
        <w:rPr>
          <w:sz w:val="32"/>
          <w:szCs w:val="32"/>
        </w:rPr>
        <w:t xml:space="preserve"> </w:t>
      </w:r>
      <w:r w:rsidR="00425BEB">
        <w:rPr>
          <w:sz w:val="32"/>
          <w:szCs w:val="32"/>
        </w:rPr>
        <w:t xml:space="preserve"> </w:t>
      </w:r>
      <w:r w:rsidR="006F2868">
        <w:rPr>
          <w:sz w:val="32"/>
          <w:szCs w:val="32"/>
        </w:rPr>
        <w:t>A liquidation</w:t>
      </w:r>
      <w:proofErr w:type="gramEnd"/>
      <w:r w:rsidR="006F2868">
        <w:rPr>
          <w:sz w:val="32"/>
          <w:szCs w:val="32"/>
        </w:rPr>
        <w:t xml:space="preserve"> follows an established, orderly process for distributing remaining assets to the fund’s investors and winding up the fund.</w:t>
      </w:r>
      <w:r w:rsidR="009368F5">
        <w:rPr>
          <w:sz w:val="32"/>
          <w:szCs w:val="32"/>
        </w:rPr>
        <w:t xml:space="preserve"> </w:t>
      </w:r>
      <w:r w:rsidR="00425BEB">
        <w:rPr>
          <w:sz w:val="32"/>
          <w:szCs w:val="32"/>
        </w:rPr>
        <w:t xml:space="preserve"> </w:t>
      </w:r>
      <w:r w:rsidR="00C86ECB">
        <w:rPr>
          <w:sz w:val="32"/>
          <w:szCs w:val="32"/>
        </w:rPr>
        <w:t>In addition</w:t>
      </w:r>
      <w:r w:rsidR="006F2868">
        <w:rPr>
          <w:sz w:val="32"/>
          <w:szCs w:val="32"/>
        </w:rPr>
        <w:t>, regulated funds are highly substitutable</w:t>
      </w:r>
      <w:proofErr w:type="gramStart"/>
      <w:r w:rsidR="006F2868">
        <w:rPr>
          <w:sz w:val="32"/>
          <w:szCs w:val="32"/>
        </w:rPr>
        <w:t>.</w:t>
      </w:r>
      <w:r w:rsidR="009368F5">
        <w:rPr>
          <w:sz w:val="32"/>
          <w:szCs w:val="32"/>
        </w:rPr>
        <w:t xml:space="preserve"> </w:t>
      </w:r>
      <w:r w:rsidR="00425BEB">
        <w:rPr>
          <w:sz w:val="32"/>
          <w:szCs w:val="32"/>
        </w:rPr>
        <w:t xml:space="preserve"> </w:t>
      </w:r>
      <w:proofErr w:type="gramEnd"/>
      <w:r w:rsidR="006F2868">
        <w:rPr>
          <w:sz w:val="32"/>
          <w:szCs w:val="32"/>
        </w:rPr>
        <w:t xml:space="preserve">Thus, when a fund exits the business, it simply does not occasion disorder in the markets or </w:t>
      </w:r>
      <w:r w:rsidR="00580984">
        <w:rPr>
          <w:sz w:val="32"/>
          <w:szCs w:val="32"/>
        </w:rPr>
        <w:t>otherwise “transmit distress</w:t>
      </w:r>
      <w:r w:rsidR="00867CF5">
        <w:rPr>
          <w:sz w:val="32"/>
          <w:szCs w:val="32"/>
        </w:rPr>
        <w:t xml:space="preserve">” to other market participants.  </w:t>
      </w:r>
      <w:r w:rsidR="00425BEB">
        <w:rPr>
          <w:sz w:val="32"/>
          <w:szCs w:val="32"/>
        </w:rPr>
        <w:t xml:space="preserve"> </w:t>
      </w:r>
    </w:p>
    <w:p w14:paraId="6ADE2522" w14:textId="26D1B435" w:rsidR="00580984" w:rsidRPr="00580984" w:rsidRDefault="00580984" w:rsidP="006F2868">
      <w:pPr>
        <w:pStyle w:val="Default"/>
        <w:numPr>
          <w:ilvl w:val="0"/>
          <w:numId w:val="11"/>
        </w:numPr>
        <w:spacing w:after="360" w:line="360" w:lineRule="auto"/>
        <w:rPr>
          <w:color w:val="auto"/>
          <w:sz w:val="32"/>
          <w:szCs w:val="32"/>
        </w:rPr>
      </w:pPr>
      <w:r>
        <w:rPr>
          <w:sz w:val="32"/>
          <w:szCs w:val="32"/>
        </w:rPr>
        <w:lastRenderedPageBreak/>
        <w:t xml:space="preserve">Finally, regulated funds are subject to regulatory limits on leverage and typically make little to no use of it. </w:t>
      </w:r>
      <w:r w:rsidR="00425BEB">
        <w:rPr>
          <w:sz w:val="32"/>
          <w:szCs w:val="32"/>
        </w:rPr>
        <w:t xml:space="preserve"> </w:t>
      </w:r>
    </w:p>
    <w:p w14:paraId="791F0551" w14:textId="55FB1431" w:rsidR="00CD46B3" w:rsidRPr="00CD46B3" w:rsidRDefault="00580984" w:rsidP="00C12E0A">
      <w:pPr>
        <w:pStyle w:val="Default"/>
        <w:spacing w:after="360" w:line="360" w:lineRule="auto"/>
        <w:ind w:left="2160"/>
        <w:rPr>
          <w:color w:val="auto"/>
          <w:sz w:val="32"/>
          <w:szCs w:val="32"/>
        </w:rPr>
      </w:pPr>
      <w:r w:rsidRPr="00CD46B3">
        <w:rPr>
          <w:color w:val="auto"/>
          <w:sz w:val="32"/>
          <w:szCs w:val="32"/>
        </w:rPr>
        <w:t xml:space="preserve">As I </w:t>
      </w:r>
      <w:r w:rsidR="00576C63">
        <w:rPr>
          <w:color w:val="auto"/>
          <w:sz w:val="32"/>
          <w:szCs w:val="32"/>
        </w:rPr>
        <w:t>said at the beginning of my remarks</w:t>
      </w:r>
      <w:r w:rsidRPr="00CD46B3">
        <w:rPr>
          <w:color w:val="auto"/>
          <w:sz w:val="32"/>
          <w:szCs w:val="32"/>
        </w:rPr>
        <w:t>, the</w:t>
      </w:r>
      <w:r w:rsidR="008E2D3A" w:rsidRPr="00CD46B3">
        <w:rPr>
          <w:color w:val="auto"/>
          <w:sz w:val="32"/>
          <w:szCs w:val="32"/>
        </w:rPr>
        <w:t xml:space="preserve"> FSB’s proposed methodology for identifying and designating funds or their managers as </w:t>
      </w:r>
      <w:r w:rsidR="009368F5">
        <w:rPr>
          <w:color w:val="auto"/>
          <w:sz w:val="32"/>
          <w:szCs w:val="32"/>
        </w:rPr>
        <w:t>G-</w:t>
      </w:r>
      <w:r w:rsidR="008E2D3A" w:rsidRPr="00CD46B3">
        <w:rPr>
          <w:color w:val="auto"/>
          <w:sz w:val="32"/>
          <w:szCs w:val="32"/>
        </w:rPr>
        <w:t xml:space="preserve">SIFIs </w:t>
      </w:r>
      <w:r w:rsidR="00C86ECB" w:rsidRPr="00CD46B3">
        <w:rPr>
          <w:color w:val="auto"/>
          <w:sz w:val="32"/>
          <w:szCs w:val="32"/>
          <w:shd w:val="clear" w:color="auto" w:fill="FFFFFF"/>
        </w:rPr>
        <w:t>ha</w:t>
      </w:r>
      <w:r w:rsidR="00CD46B3">
        <w:rPr>
          <w:color w:val="auto"/>
          <w:sz w:val="32"/>
          <w:szCs w:val="32"/>
          <w:shd w:val="clear" w:color="auto" w:fill="FFFFFF"/>
        </w:rPr>
        <w:t>s</w:t>
      </w:r>
      <w:r w:rsidR="00C86ECB" w:rsidRPr="00CD46B3">
        <w:rPr>
          <w:color w:val="auto"/>
          <w:sz w:val="32"/>
          <w:szCs w:val="32"/>
          <w:shd w:val="clear" w:color="auto" w:fill="FFFFFF"/>
        </w:rPr>
        <w:t xml:space="preserve"> mainly threatened to affect large US funds</w:t>
      </w:r>
      <w:r w:rsidR="00CD46B3">
        <w:rPr>
          <w:color w:val="auto"/>
          <w:sz w:val="32"/>
          <w:szCs w:val="32"/>
          <w:shd w:val="clear" w:color="auto" w:fill="FFFFFF"/>
        </w:rPr>
        <w:t xml:space="preserve"> thus far</w:t>
      </w:r>
      <w:r w:rsidR="00CD46B3" w:rsidRPr="00CD46B3">
        <w:rPr>
          <w:color w:val="auto"/>
          <w:sz w:val="32"/>
          <w:szCs w:val="32"/>
        </w:rPr>
        <w:t>.</w:t>
      </w:r>
      <w:r w:rsidR="00425BEB">
        <w:rPr>
          <w:color w:val="auto"/>
          <w:sz w:val="32"/>
          <w:szCs w:val="32"/>
        </w:rPr>
        <w:t xml:space="preserve">  </w:t>
      </w:r>
    </w:p>
    <w:p w14:paraId="1A4AF20E" w14:textId="11A36E47" w:rsidR="00C12E0A" w:rsidRDefault="008E2D3A" w:rsidP="00C12E0A">
      <w:pPr>
        <w:pStyle w:val="Default"/>
        <w:spacing w:after="360" w:line="360" w:lineRule="auto"/>
        <w:ind w:left="2160"/>
        <w:rPr>
          <w:color w:val="auto"/>
          <w:sz w:val="32"/>
          <w:szCs w:val="32"/>
        </w:rPr>
      </w:pPr>
      <w:r>
        <w:rPr>
          <w:color w:val="auto"/>
          <w:sz w:val="32"/>
          <w:szCs w:val="32"/>
        </w:rPr>
        <w:t xml:space="preserve">But </w:t>
      </w:r>
      <w:r w:rsidR="00C12E0A">
        <w:rPr>
          <w:color w:val="auto"/>
          <w:sz w:val="32"/>
          <w:szCs w:val="32"/>
        </w:rPr>
        <w:t xml:space="preserve">given </w:t>
      </w:r>
      <w:r w:rsidR="00C12E0A" w:rsidRPr="00E24A73">
        <w:rPr>
          <w:color w:val="auto"/>
          <w:sz w:val="32"/>
          <w:szCs w:val="32"/>
        </w:rPr>
        <w:t xml:space="preserve">regulators’ </w:t>
      </w:r>
      <w:r w:rsidR="00E24A73" w:rsidRPr="00E24A73">
        <w:rPr>
          <w:color w:val="auto"/>
          <w:sz w:val="32"/>
          <w:szCs w:val="32"/>
        </w:rPr>
        <w:t>increasing —</w:t>
      </w:r>
      <w:r w:rsidR="00E24A73" w:rsidRPr="00E24A73">
        <w:rPr>
          <w:sz w:val="32"/>
          <w:szCs w:val="32"/>
        </w:rPr>
        <w:t xml:space="preserve"> yet un</w:t>
      </w:r>
      <w:r w:rsidR="00E24A73">
        <w:rPr>
          <w:sz w:val="32"/>
          <w:szCs w:val="32"/>
        </w:rPr>
        <w:t xml:space="preserve">founded </w:t>
      </w:r>
      <w:r w:rsidR="00E24A73" w:rsidRPr="00E24A73">
        <w:rPr>
          <w:sz w:val="32"/>
          <w:szCs w:val="32"/>
        </w:rPr>
        <w:t>—</w:t>
      </w:r>
      <w:r w:rsidR="00E24A73">
        <w:rPr>
          <w:sz w:val="32"/>
          <w:szCs w:val="32"/>
        </w:rPr>
        <w:t xml:space="preserve"> </w:t>
      </w:r>
      <w:r w:rsidR="00C12E0A">
        <w:rPr>
          <w:color w:val="auto"/>
          <w:sz w:val="32"/>
          <w:szCs w:val="32"/>
        </w:rPr>
        <w:t>concerns about systemic risk and asset management, it</w:t>
      </w:r>
      <w:r w:rsidR="00321A4C">
        <w:rPr>
          <w:color w:val="auto"/>
          <w:sz w:val="32"/>
          <w:szCs w:val="32"/>
        </w:rPr>
        <w:t xml:space="preserve"> is</w:t>
      </w:r>
      <w:r w:rsidR="00C12E0A">
        <w:rPr>
          <w:color w:val="auto"/>
          <w:sz w:val="32"/>
          <w:szCs w:val="32"/>
        </w:rPr>
        <w:t xml:space="preserve"> not out of the realm of possibility </w:t>
      </w:r>
      <w:r w:rsidR="00E24A73">
        <w:rPr>
          <w:color w:val="auto"/>
          <w:sz w:val="32"/>
          <w:szCs w:val="32"/>
        </w:rPr>
        <w:t xml:space="preserve">that funds </w:t>
      </w:r>
      <w:r w:rsidR="00425BEB">
        <w:rPr>
          <w:color w:val="auto"/>
          <w:sz w:val="32"/>
          <w:szCs w:val="32"/>
        </w:rPr>
        <w:t>or</w:t>
      </w:r>
      <w:r w:rsidR="00E24A73">
        <w:rPr>
          <w:color w:val="auto"/>
          <w:sz w:val="32"/>
          <w:szCs w:val="32"/>
        </w:rPr>
        <w:t xml:space="preserve"> their managers</w:t>
      </w:r>
      <w:r w:rsidR="00C12E0A">
        <w:rPr>
          <w:color w:val="auto"/>
          <w:sz w:val="32"/>
          <w:szCs w:val="32"/>
        </w:rPr>
        <w:t xml:space="preserve"> in other countries, including here in </w:t>
      </w:r>
      <w:r w:rsidR="00580984">
        <w:rPr>
          <w:color w:val="auto"/>
          <w:sz w:val="32"/>
          <w:szCs w:val="32"/>
        </w:rPr>
        <w:t>the Netherlands</w:t>
      </w:r>
      <w:r w:rsidR="00C12E0A">
        <w:rPr>
          <w:color w:val="auto"/>
          <w:sz w:val="32"/>
          <w:szCs w:val="32"/>
        </w:rPr>
        <w:t>, could be designated.</w:t>
      </w:r>
      <w:r w:rsidR="009368F5">
        <w:rPr>
          <w:color w:val="auto"/>
          <w:sz w:val="32"/>
          <w:szCs w:val="32"/>
        </w:rPr>
        <w:t xml:space="preserve"> </w:t>
      </w:r>
      <w:r w:rsidR="00425BEB">
        <w:rPr>
          <w:color w:val="auto"/>
          <w:sz w:val="32"/>
          <w:szCs w:val="32"/>
        </w:rPr>
        <w:t xml:space="preserve"> </w:t>
      </w:r>
    </w:p>
    <w:p w14:paraId="5C671B08" w14:textId="45CA63D2" w:rsidR="004D1703" w:rsidRPr="009B4BEA" w:rsidRDefault="00CD46B3" w:rsidP="00C719E7">
      <w:pPr>
        <w:pStyle w:val="Default"/>
        <w:spacing w:after="360" w:line="360" w:lineRule="auto"/>
        <w:ind w:left="2160"/>
        <w:rPr>
          <w:color w:val="auto"/>
          <w:sz w:val="32"/>
          <w:szCs w:val="32"/>
        </w:rPr>
      </w:pPr>
      <w:r>
        <w:rPr>
          <w:color w:val="auto"/>
          <w:sz w:val="32"/>
          <w:szCs w:val="32"/>
        </w:rPr>
        <w:t>D</w:t>
      </w:r>
      <w:r w:rsidR="000F1716">
        <w:rPr>
          <w:color w:val="auto"/>
          <w:sz w:val="32"/>
          <w:szCs w:val="32"/>
        </w:rPr>
        <w:t xml:space="preserve">esignation </w:t>
      </w:r>
      <w:r w:rsidR="004C6297" w:rsidRPr="00637B6E">
        <w:rPr>
          <w:color w:val="auto"/>
          <w:sz w:val="32"/>
          <w:szCs w:val="32"/>
        </w:rPr>
        <w:t xml:space="preserve">would </w:t>
      </w:r>
      <w:r w:rsidR="000F1716">
        <w:rPr>
          <w:color w:val="auto"/>
          <w:sz w:val="32"/>
          <w:szCs w:val="32"/>
        </w:rPr>
        <w:t xml:space="preserve">likely </w:t>
      </w:r>
      <w:r w:rsidR="00E24A73">
        <w:rPr>
          <w:color w:val="auto"/>
          <w:sz w:val="32"/>
          <w:szCs w:val="32"/>
        </w:rPr>
        <w:t xml:space="preserve">result in national regulators imposing </w:t>
      </w:r>
      <w:r w:rsidR="004C6297" w:rsidRPr="00637B6E">
        <w:rPr>
          <w:color w:val="auto"/>
          <w:sz w:val="32"/>
          <w:szCs w:val="32"/>
        </w:rPr>
        <w:t xml:space="preserve">capital requirements that have never been </w:t>
      </w:r>
      <w:r w:rsidR="004C6297" w:rsidRPr="009B4BEA">
        <w:rPr>
          <w:color w:val="auto"/>
          <w:sz w:val="32"/>
          <w:szCs w:val="32"/>
        </w:rPr>
        <w:t>applied to funds and that do not fit the business model of funds.</w:t>
      </w:r>
      <w:r w:rsidR="009368F5">
        <w:rPr>
          <w:color w:val="auto"/>
          <w:sz w:val="32"/>
          <w:szCs w:val="32"/>
        </w:rPr>
        <w:t xml:space="preserve"> </w:t>
      </w:r>
      <w:r w:rsidR="00425BEB">
        <w:rPr>
          <w:color w:val="auto"/>
          <w:sz w:val="32"/>
          <w:szCs w:val="32"/>
        </w:rPr>
        <w:t xml:space="preserve"> </w:t>
      </w:r>
    </w:p>
    <w:p w14:paraId="2808B4A7" w14:textId="00645AD1" w:rsidR="0055156A" w:rsidRPr="0055156A" w:rsidRDefault="004C6297" w:rsidP="0055156A">
      <w:pPr>
        <w:pStyle w:val="Default"/>
        <w:spacing w:after="360" w:line="360" w:lineRule="auto"/>
        <w:ind w:left="2160"/>
        <w:rPr>
          <w:color w:val="auto"/>
          <w:sz w:val="32"/>
          <w:szCs w:val="32"/>
        </w:rPr>
      </w:pPr>
      <w:r w:rsidRPr="009B4BEA">
        <w:rPr>
          <w:color w:val="auto"/>
          <w:sz w:val="32"/>
          <w:szCs w:val="32"/>
        </w:rPr>
        <w:t xml:space="preserve">It also would mean a regime of “enhanced prudential supervision” </w:t>
      </w:r>
      <w:r w:rsidR="008030D1">
        <w:rPr>
          <w:color w:val="auto"/>
          <w:sz w:val="32"/>
          <w:szCs w:val="32"/>
        </w:rPr>
        <w:t>that would ultimately</w:t>
      </w:r>
      <w:r w:rsidR="009B4BEA" w:rsidRPr="009B4BEA">
        <w:rPr>
          <w:color w:val="auto"/>
          <w:sz w:val="32"/>
          <w:szCs w:val="32"/>
        </w:rPr>
        <w:t xml:space="preserve"> </w:t>
      </w:r>
      <w:proofErr w:type="spellStart"/>
      <w:r w:rsidR="009B4BEA" w:rsidRPr="009B4BEA">
        <w:rPr>
          <w:color w:val="auto"/>
          <w:sz w:val="32"/>
          <w:szCs w:val="32"/>
        </w:rPr>
        <w:t>penali</w:t>
      </w:r>
      <w:r w:rsidR="004D1703">
        <w:rPr>
          <w:color w:val="auto"/>
          <w:sz w:val="32"/>
          <w:szCs w:val="32"/>
        </w:rPr>
        <w:t>s</w:t>
      </w:r>
      <w:r w:rsidR="009B4BEA" w:rsidRPr="009B4BEA">
        <w:rPr>
          <w:color w:val="auto"/>
          <w:sz w:val="32"/>
          <w:szCs w:val="32"/>
        </w:rPr>
        <w:t>e</w:t>
      </w:r>
      <w:proofErr w:type="spellEnd"/>
      <w:r w:rsidR="009B4BEA" w:rsidRPr="009B4BEA">
        <w:rPr>
          <w:color w:val="auto"/>
          <w:sz w:val="32"/>
          <w:szCs w:val="32"/>
        </w:rPr>
        <w:t xml:space="preserve"> investors, distort the fund marketplace, </w:t>
      </w:r>
      <w:r w:rsidR="009B4BEA" w:rsidRPr="0055156A">
        <w:rPr>
          <w:color w:val="auto"/>
          <w:sz w:val="32"/>
          <w:szCs w:val="32"/>
        </w:rPr>
        <w:lastRenderedPageBreak/>
        <w:t xml:space="preserve">and compromise regulated funds’ important role </w:t>
      </w:r>
      <w:r w:rsidR="008030D1" w:rsidRPr="0055156A">
        <w:rPr>
          <w:color w:val="auto"/>
          <w:sz w:val="32"/>
          <w:szCs w:val="32"/>
        </w:rPr>
        <w:t xml:space="preserve">in </w:t>
      </w:r>
      <w:r w:rsidR="00D4361C" w:rsidRPr="0055156A">
        <w:rPr>
          <w:color w:val="auto"/>
          <w:sz w:val="32"/>
          <w:szCs w:val="32"/>
        </w:rPr>
        <w:t xml:space="preserve">helping develop </w:t>
      </w:r>
      <w:r w:rsidR="008030D1" w:rsidRPr="0055156A">
        <w:rPr>
          <w:color w:val="auto"/>
          <w:sz w:val="32"/>
          <w:szCs w:val="32"/>
        </w:rPr>
        <w:t>and strengthen capital markets.</w:t>
      </w:r>
      <w:r w:rsidR="009368F5">
        <w:rPr>
          <w:color w:val="auto"/>
          <w:sz w:val="32"/>
          <w:szCs w:val="32"/>
        </w:rPr>
        <w:t xml:space="preserve"> </w:t>
      </w:r>
      <w:r w:rsidR="00425BEB">
        <w:rPr>
          <w:color w:val="auto"/>
          <w:sz w:val="32"/>
          <w:szCs w:val="32"/>
        </w:rPr>
        <w:t xml:space="preserve"> </w:t>
      </w:r>
    </w:p>
    <w:p w14:paraId="71CCB6A0" w14:textId="0C17F2FC" w:rsidR="00AA3AB8" w:rsidRPr="00AA3AB8" w:rsidRDefault="00AA3AB8" w:rsidP="0055156A">
      <w:pPr>
        <w:pStyle w:val="Default"/>
        <w:spacing w:after="360" w:line="360" w:lineRule="auto"/>
        <w:ind w:left="2160"/>
        <w:rPr>
          <w:rFonts w:eastAsia="Times New Roman"/>
          <w:color w:val="auto"/>
          <w:sz w:val="32"/>
          <w:szCs w:val="32"/>
        </w:rPr>
      </w:pPr>
      <w:r>
        <w:rPr>
          <w:rFonts w:eastAsia="Times New Roman"/>
          <w:color w:val="auto"/>
          <w:sz w:val="32"/>
          <w:szCs w:val="32"/>
        </w:rPr>
        <w:t>Here in Europe</w:t>
      </w:r>
      <w:r w:rsidR="00CD46B3">
        <w:rPr>
          <w:rFonts w:eastAsia="Times New Roman"/>
          <w:color w:val="auto"/>
          <w:sz w:val="32"/>
          <w:szCs w:val="32"/>
        </w:rPr>
        <w:t xml:space="preserve">, that could seriously </w:t>
      </w:r>
      <w:proofErr w:type="spellStart"/>
      <w:r w:rsidR="00CD46B3">
        <w:rPr>
          <w:rFonts w:eastAsia="Times New Roman"/>
          <w:color w:val="auto"/>
          <w:sz w:val="32"/>
          <w:szCs w:val="32"/>
        </w:rPr>
        <w:t>jeopardis</w:t>
      </w:r>
      <w:r>
        <w:rPr>
          <w:rFonts w:eastAsia="Times New Roman"/>
          <w:color w:val="auto"/>
          <w:sz w:val="32"/>
          <w:szCs w:val="32"/>
        </w:rPr>
        <w:t>e</w:t>
      </w:r>
      <w:proofErr w:type="spellEnd"/>
      <w:r>
        <w:rPr>
          <w:rFonts w:eastAsia="Times New Roman"/>
          <w:color w:val="auto"/>
          <w:sz w:val="32"/>
          <w:szCs w:val="32"/>
        </w:rPr>
        <w:t xml:space="preserve"> the development and success </w:t>
      </w:r>
      <w:r w:rsidR="00CD46B3">
        <w:rPr>
          <w:rFonts w:eastAsia="Times New Roman"/>
          <w:color w:val="auto"/>
          <w:sz w:val="32"/>
          <w:szCs w:val="32"/>
        </w:rPr>
        <w:t xml:space="preserve">of </w:t>
      </w:r>
      <w:r>
        <w:rPr>
          <w:rFonts w:eastAsia="Times New Roman"/>
          <w:color w:val="auto"/>
          <w:sz w:val="32"/>
          <w:szCs w:val="32"/>
        </w:rPr>
        <w:t xml:space="preserve">perhaps one of the most important initiatives for Europe’s economy: </w:t>
      </w:r>
      <w:r w:rsidRPr="00AA3AB8">
        <w:rPr>
          <w:rFonts w:eastAsia="Times New Roman"/>
          <w:color w:val="auto"/>
          <w:sz w:val="32"/>
          <w:szCs w:val="32"/>
        </w:rPr>
        <w:t>the Capital Markets Union, or CMU.</w:t>
      </w:r>
      <w:r w:rsidR="00425BEB">
        <w:rPr>
          <w:rFonts w:eastAsia="Times New Roman"/>
          <w:color w:val="auto"/>
          <w:sz w:val="32"/>
          <w:szCs w:val="32"/>
        </w:rPr>
        <w:t xml:space="preserve">  </w:t>
      </w:r>
    </w:p>
    <w:p w14:paraId="3C83FDB8" w14:textId="24FCAA24" w:rsidR="00580984" w:rsidRPr="00AA3AB8" w:rsidRDefault="00AA3AB8" w:rsidP="0055156A">
      <w:pPr>
        <w:pStyle w:val="Default"/>
        <w:spacing w:after="360" w:line="360" w:lineRule="auto"/>
        <w:ind w:left="2160"/>
        <w:rPr>
          <w:rFonts w:eastAsia="Times New Roman"/>
          <w:color w:val="auto"/>
          <w:sz w:val="32"/>
          <w:szCs w:val="32"/>
        </w:rPr>
      </w:pPr>
      <w:r w:rsidRPr="00AA3AB8">
        <w:rPr>
          <w:rFonts w:eastAsia="Times New Roman"/>
          <w:color w:val="auto"/>
          <w:sz w:val="32"/>
          <w:szCs w:val="32"/>
        </w:rPr>
        <w:t>The goal of the CMU is to</w:t>
      </w:r>
      <w:r w:rsidRPr="00AA3AB8">
        <w:rPr>
          <w:color w:val="auto"/>
          <w:sz w:val="32"/>
          <w:szCs w:val="32"/>
          <w:shd w:val="clear" w:color="auto" w:fill="FFFFFF"/>
        </w:rPr>
        <w:t xml:space="preserve"> “further develop and integrate capital markets,” to “help reduce [Europe’s] very high dependence on bank funding,” and to “increase the attractiveness of Europe as a place to invest.” </w:t>
      </w:r>
      <w:r w:rsidR="00425BEB">
        <w:rPr>
          <w:color w:val="auto"/>
          <w:sz w:val="32"/>
          <w:szCs w:val="32"/>
          <w:shd w:val="clear" w:color="auto" w:fill="FFFFFF"/>
        </w:rPr>
        <w:t xml:space="preserve"> </w:t>
      </w:r>
    </w:p>
    <w:p w14:paraId="40069AD6" w14:textId="0DD16F7D" w:rsidR="00497425" w:rsidRPr="0057486E" w:rsidRDefault="000C182F" w:rsidP="00497425">
      <w:pPr>
        <w:pStyle w:val="Default"/>
        <w:spacing w:after="360" w:line="360" w:lineRule="auto"/>
        <w:ind w:left="2160"/>
        <w:rPr>
          <w:rFonts w:eastAsia="Times New Roman"/>
          <w:color w:val="auto"/>
          <w:sz w:val="32"/>
          <w:szCs w:val="32"/>
        </w:rPr>
      </w:pPr>
      <w:r>
        <w:rPr>
          <w:rFonts w:eastAsia="Times New Roman"/>
          <w:color w:val="auto"/>
          <w:sz w:val="32"/>
          <w:szCs w:val="32"/>
        </w:rPr>
        <w:t>Of course o</w:t>
      </w:r>
      <w:r w:rsidR="00AA3AB8">
        <w:rPr>
          <w:rFonts w:eastAsia="Times New Roman"/>
          <w:color w:val="auto"/>
          <w:sz w:val="32"/>
          <w:szCs w:val="32"/>
        </w:rPr>
        <w:t xml:space="preserve">ne of </w:t>
      </w:r>
      <w:r w:rsidR="00497425">
        <w:rPr>
          <w:rFonts w:eastAsia="Times New Roman"/>
          <w:color w:val="auto"/>
          <w:sz w:val="32"/>
          <w:szCs w:val="32"/>
        </w:rPr>
        <w:t>the</w:t>
      </w:r>
      <w:r w:rsidR="00CD46B3">
        <w:rPr>
          <w:rFonts w:eastAsia="Times New Roman"/>
          <w:color w:val="auto"/>
          <w:sz w:val="32"/>
          <w:szCs w:val="32"/>
        </w:rPr>
        <w:t xml:space="preserve"> keys to achieving this goal is </w:t>
      </w:r>
      <w:r w:rsidR="00AA3AB8">
        <w:rPr>
          <w:rFonts w:eastAsia="Times New Roman"/>
          <w:color w:val="auto"/>
          <w:sz w:val="32"/>
          <w:szCs w:val="32"/>
        </w:rPr>
        <w:t xml:space="preserve">increasing the use of other funding vehicles, such </w:t>
      </w:r>
      <w:r w:rsidR="00AA3AB8" w:rsidRPr="0057486E">
        <w:rPr>
          <w:rFonts w:eastAsia="Times New Roman"/>
          <w:color w:val="auto"/>
          <w:sz w:val="32"/>
          <w:szCs w:val="32"/>
        </w:rPr>
        <w:t xml:space="preserve">as </w:t>
      </w:r>
      <w:r w:rsidRPr="0057486E">
        <w:rPr>
          <w:rFonts w:eastAsia="Times New Roman"/>
          <w:color w:val="auto"/>
          <w:sz w:val="32"/>
          <w:szCs w:val="32"/>
        </w:rPr>
        <w:t>investment funds.</w:t>
      </w:r>
      <w:r w:rsidR="009368F5">
        <w:rPr>
          <w:rFonts w:eastAsia="Times New Roman"/>
          <w:color w:val="auto"/>
          <w:sz w:val="32"/>
          <w:szCs w:val="32"/>
        </w:rPr>
        <w:t xml:space="preserve"> </w:t>
      </w:r>
      <w:r w:rsidR="00425BEB">
        <w:rPr>
          <w:rFonts w:eastAsia="Times New Roman"/>
          <w:color w:val="auto"/>
          <w:sz w:val="32"/>
          <w:szCs w:val="32"/>
        </w:rPr>
        <w:t xml:space="preserve"> </w:t>
      </w:r>
    </w:p>
    <w:p w14:paraId="468AFED4" w14:textId="5F157EF2" w:rsidR="00497425" w:rsidRPr="0057486E" w:rsidRDefault="00497425" w:rsidP="00497425">
      <w:pPr>
        <w:pStyle w:val="Default"/>
        <w:spacing w:after="360" w:line="360" w:lineRule="auto"/>
        <w:ind w:left="2160"/>
        <w:rPr>
          <w:rFonts w:eastAsia="Times New Roman"/>
          <w:color w:val="auto"/>
          <w:sz w:val="32"/>
          <w:szCs w:val="32"/>
        </w:rPr>
      </w:pPr>
      <w:r w:rsidRPr="0057486E">
        <w:rPr>
          <w:rFonts w:eastAsia="Times New Roman"/>
          <w:color w:val="auto"/>
          <w:sz w:val="32"/>
          <w:szCs w:val="32"/>
        </w:rPr>
        <w:t xml:space="preserve">Yet </w:t>
      </w:r>
      <w:r w:rsidRPr="00497425">
        <w:rPr>
          <w:rFonts w:eastAsia="Times New Roman"/>
          <w:color w:val="auto"/>
          <w:sz w:val="32"/>
          <w:szCs w:val="32"/>
        </w:rPr>
        <w:t xml:space="preserve">if </w:t>
      </w:r>
      <w:r w:rsidR="00576C63">
        <w:rPr>
          <w:rFonts w:eastAsia="Times New Roman"/>
          <w:color w:val="auto"/>
          <w:sz w:val="32"/>
          <w:szCs w:val="32"/>
        </w:rPr>
        <w:t>policymakers</w:t>
      </w:r>
      <w:r w:rsidRPr="00497425">
        <w:rPr>
          <w:rFonts w:eastAsia="Times New Roman"/>
          <w:color w:val="auto"/>
          <w:sz w:val="32"/>
          <w:szCs w:val="32"/>
        </w:rPr>
        <w:t xml:space="preserve"> impose highly prescriptive regulations on funds and their managers, they will </w:t>
      </w:r>
      <w:r w:rsidR="00CD46B3">
        <w:rPr>
          <w:rFonts w:eastAsia="Times New Roman"/>
          <w:color w:val="auto"/>
          <w:sz w:val="32"/>
          <w:szCs w:val="32"/>
        </w:rPr>
        <w:t xml:space="preserve">not only </w:t>
      </w:r>
      <w:r w:rsidRPr="00497425">
        <w:rPr>
          <w:rFonts w:eastAsia="Times New Roman"/>
          <w:color w:val="auto"/>
          <w:sz w:val="32"/>
          <w:szCs w:val="32"/>
        </w:rPr>
        <w:t>run a significant risk</w:t>
      </w:r>
      <w:r w:rsidR="00CD46B3">
        <w:rPr>
          <w:rFonts w:eastAsia="Times New Roman"/>
          <w:color w:val="auto"/>
          <w:sz w:val="32"/>
          <w:szCs w:val="32"/>
        </w:rPr>
        <w:t xml:space="preserve"> of hindering the crucial role that funds play in developing and sustaining robust capital markets, but also</w:t>
      </w:r>
      <w:r w:rsidRPr="00497425">
        <w:rPr>
          <w:rFonts w:eastAsia="Times New Roman"/>
          <w:color w:val="auto"/>
          <w:sz w:val="32"/>
          <w:szCs w:val="32"/>
        </w:rPr>
        <w:t xml:space="preserve"> diminishing the diversification in financial services that capital markets provide</w:t>
      </w:r>
      <w:proofErr w:type="gramStart"/>
      <w:r w:rsidRPr="00497425">
        <w:rPr>
          <w:rFonts w:eastAsia="Times New Roman"/>
          <w:color w:val="auto"/>
          <w:sz w:val="32"/>
          <w:szCs w:val="32"/>
        </w:rPr>
        <w:t>.</w:t>
      </w:r>
      <w:r w:rsidR="009368F5">
        <w:rPr>
          <w:rFonts w:eastAsia="Times New Roman"/>
          <w:color w:val="auto"/>
          <w:sz w:val="32"/>
          <w:szCs w:val="32"/>
        </w:rPr>
        <w:t xml:space="preserve"> </w:t>
      </w:r>
      <w:r w:rsidR="00425BEB">
        <w:rPr>
          <w:rFonts w:eastAsia="Times New Roman"/>
          <w:color w:val="auto"/>
          <w:sz w:val="32"/>
          <w:szCs w:val="32"/>
        </w:rPr>
        <w:t xml:space="preserve"> </w:t>
      </w:r>
      <w:proofErr w:type="gramEnd"/>
      <w:r w:rsidRPr="00497425">
        <w:rPr>
          <w:rFonts w:eastAsia="Times New Roman"/>
          <w:color w:val="auto"/>
          <w:sz w:val="32"/>
          <w:szCs w:val="32"/>
        </w:rPr>
        <w:t xml:space="preserve">Their actions could </w:t>
      </w:r>
      <w:r w:rsidRPr="00497425">
        <w:rPr>
          <w:rFonts w:eastAsia="Times New Roman"/>
          <w:color w:val="auto"/>
          <w:sz w:val="32"/>
          <w:szCs w:val="32"/>
        </w:rPr>
        <w:lastRenderedPageBreak/>
        <w:t>exacerbate volatility in markets, increase the probability of shocks to the financial system</w:t>
      </w:r>
      <w:r w:rsidR="00807B01">
        <w:rPr>
          <w:rFonts w:eastAsia="Times New Roman"/>
          <w:color w:val="auto"/>
          <w:sz w:val="32"/>
          <w:szCs w:val="32"/>
        </w:rPr>
        <w:t xml:space="preserve"> </w:t>
      </w:r>
      <w:r w:rsidRPr="00497425">
        <w:rPr>
          <w:rFonts w:eastAsia="Times New Roman"/>
          <w:color w:val="auto"/>
          <w:sz w:val="32"/>
          <w:szCs w:val="32"/>
        </w:rPr>
        <w:t>—</w:t>
      </w:r>
      <w:r w:rsidR="00807B01">
        <w:rPr>
          <w:rFonts w:eastAsia="Times New Roman"/>
          <w:color w:val="auto"/>
          <w:sz w:val="32"/>
          <w:szCs w:val="32"/>
        </w:rPr>
        <w:t xml:space="preserve"> </w:t>
      </w:r>
      <w:r w:rsidRPr="00497425">
        <w:rPr>
          <w:rFonts w:eastAsia="Times New Roman"/>
          <w:color w:val="auto"/>
          <w:sz w:val="32"/>
          <w:szCs w:val="32"/>
        </w:rPr>
        <w:t>and make those shocks more harmful, not less.</w:t>
      </w:r>
      <w:r w:rsidR="00425BEB">
        <w:rPr>
          <w:rFonts w:eastAsia="Times New Roman"/>
          <w:color w:val="auto"/>
          <w:sz w:val="32"/>
          <w:szCs w:val="32"/>
        </w:rPr>
        <w:t xml:space="preserve">  </w:t>
      </w:r>
    </w:p>
    <w:p w14:paraId="45DFC6CD" w14:textId="69FA4024" w:rsidR="0057486E" w:rsidRPr="0057486E" w:rsidRDefault="00497425" w:rsidP="0057486E">
      <w:pPr>
        <w:pStyle w:val="Default"/>
        <w:spacing w:after="360" w:line="360" w:lineRule="auto"/>
        <w:ind w:left="2160"/>
        <w:rPr>
          <w:rFonts w:eastAsia="Times New Roman"/>
          <w:color w:val="auto"/>
          <w:sz w:val="32"/>
          <w:szCs w:val="32"/>
        </w:rPr>
      </w:pPr>
      <w:r w:rsidRPr="00497425">
        <w:rPr>
          <w:rFonts w:eastAsia="Times New Roman"/>
          <w:color w:val="auto"/>
          <w:sz w:val="32"/>
          <w:szCs w:val="32"/>
        </w:rPr>
        <w:t>I am not saying that our funds, or capital market participants generally, are opposed to regulation</w:t>
      </w:r>
      <w:proofErr w:type="gramStart"/>
      <w:r w:rsidRPr="00497425">
        <w:rPr>
          <w:rFonts w:eastAsia="Times New Roman"/>
          <w:color w:val="auto"/>
          <w:sz w:val="32"/>
          <w:szCs w:val="32"/>
        </w:rPr>
        <w:t xml:space="preserve">. </w:t>
      </w:r>
      <w:r w:rsidR="00425BEB">
        <w:rPr>
          <w:rFonts w:eastAsia="Times New Roman"/>
          <w:color w:val="auto"/>
          <w:sz w:val="32"/>
          <w:szCs w:val="32"/>
        </w:rPr>
        <w:t xml:space="preserve"> </w:t>
      </w:r>
      <w:proofErr w:type="gramEnd"/>
      <w:r w:rsidR="0057486E" w:rsidRPr="0057486E">
        <w:rPr>
          <w:rFonts w:eastAsia="Times New Roman"/>
          <w:color w:val="auto"/>
          <w:sz w:val="32"/>
          <w:szCs w:val="32"/>
        </w:rPr>
        <w:t>Sound regulation is crucial</w:t>
      </w:r>
      <w:r w:rsidRPr="00497425">
        <w:rPr>
          <w:rFonts w:eastAsia="Times New Roman"/>
          <w:color w:val="auto"/>
          <w:sz w:val="32"/>
          <w:szCs w:val="32"/>
        </w:rPr>
        <w:t xml:space="preserve"> to the development and oper</w:t>
      </w:r>
      <w:r w:rsidR="0057486E" w:rsidRPr="0057486E">
        <w:rPr>
          <w:rFonts w:eastAsia="Times New Roman"/>
          <w:color w:val="auto"/>
          <w:sz w:val="32"/>
          <w:szCs w:val="32"/>
        </w:rPr>
        <w:t>ation of robust capital markets.</w:t>
      </w:r>
      <w:r w:rsidR="00425BEB">
        <w:rPr>
          <w:rFonts w:eastAsia="Times New Roman"/>
          <w:color w:val="auto"/>
          <w:sz w:val="32"/>
          <w:szCs w:val="32"/>
        </w:rPr>
        <w:t xml:space="preserve">  </w:t>
      </w:r>
    </w:p>
    <w:p w14:paraId="0774D709" w14:textId="40679E97" w:rsidR="0057486E" w:rsidRPr="0057486E" w:rsidRDefault="00425BEB" w:rsidP="0057486E">
      <w:pPr>
        <w:pStyle w:val="Default"/>
        <w:spacing w:after="360" w:line="360" w:lineRule="auto"/>
        <w:ind w:left="2160"/>
        <w:rPr>
          <w:rFonts w:eastAsia="Times New Roman"/>
          <w:color w:val="auto"/>
          <w:sz w:val="32"/>
          <w:szCs w:val="32"/>
        </w:rPr>
      </w:pPr>
      <w:r>
        <w:rPr>
          <w:rFonts w:eastAsia="Times New Roman"/>
          <w:color w:val="auto"/>
          <w:sz w:val="32"/>
          <w:szCs w:val="32"/>
        </w:rPr>
        <w:t>Indeed</w:t>
      </w:r>
      <w:r w:rsidR="00CD46B3">
        <w:rPr>
          <w:rFonts w:eastAsia="Times New Roman"/>
          <w:color w:val="auto"/>
          <w:sz w:val="32"/>
          <w:szCs w:val="32"/>
        </w:rPr>
        <w:t xml:space="preserve"> as I mentioned earlier, </w:t>
      </w:r>
      <w:r w:rsidR="009368F5">
        <w:rPr>
          <w:rFonts w:eastAsia="Times New Roman"/>
          <w:color w:val="auto"/>
          <w:sz w:val="32"/>
          <w:szCs w:val="32"/>
        </w:rPr>
        <w:t xml:space="preserve">US </w:t>
      </w:r>
      <w:r w:rsidR="00CD46B3">
        <w:rPr>
          <w:rFonts w:eastAsia="Times New Roman"/>
          <w:color w:val="auto"/>
          <w:sz w:val="32"/>
          <w:szCs w:val="32"/>
        </w:rPr>
        <w:t>regulated</w:t>
      </w:r>
      <w:r w:rsidR="00497425" w:rsidRPr="00497425">
        <w:rPr>
          <w:rFonts w:eastAsia="Times New Roman"/>
          <w:color w:val="auto"/>
          <w:sz w:val="32"/>
          <w:szCs w:val="32"/>
        </w:rPr>
        <w:t xml:space="preserve"> funds in particular have prospered under a comprehensive and effective framework of regulation that has withstood the test of time.</w:t>
      </w:r>
      <w:r>
        <w:rPr>
          <w:rFonts w:eastAsia="Times New Roman"/>
          <w:color w:val="auto"/>
          <w:sz w:val="32"/>
          <w:szCs w:val="32"/>
        </w:rPr>
        <w:t xml:space="preserve">  </w:t>
      </w:r>
    </w:p>
    <w:p w14:paraId="552F01D7" w14:textId="6D334170" w:rsidR="0057486E" w:rsidRPr="0057486E" w:rsidRDefault="00497425" w:rsidP="0057486E">
      <w:pPr>
        <w:pStyle w:val="Default"/>
        <w:spacing w:after="360" w:line="360" w:lineRule="auto"/>
        <w:ind w:left="2160"/>
        <w:rPr>
          <w:rFonts w:eastAsia="Times New Roman"/>
          <w:color w:val="auto"/>
          <w:sz w:val="32"/>
          <w:szCs w:val="32"/>
        </w:rPr>
      </w:pPr>
      <w:r w:rsidRPr="00497425">
        <w:rPr>
          <w:rFonts w:eastAsia="Times New Roman"/>
          <w:color w:val="auto"/>
          <w:sz w:val="32"/>
          <w:szCs w:val="32"/>
        </w:rPr>
        <w:t>But the advantages that capital markets bring</w:t>
      </w:r>
      <w:r w:rsidR="009368F5">
        <w:rPr>
          <w:rFonts w:eastAsia="Times New Roman"/>
          <w:color w:val="auto"/>
          <w:sz w:val="32"/>
          <w:szCs w:val="32"/>
        </w:rPr>
        <w:t xml:space="preserve"> — </w:t>
      </w:r>
      <w:r w:rsidRPr="00497425">
        <w:rPr>
          <w:rFonts w:eastAsia="Times New Roman"/>
          <w:color w:val="auto"/>
          <w:sz w:val="32"/>
          <w:szCs w:val="32"/>
        </w:rPr>
        <w:t>in promoting efficiency, economic stability, and economic flexibility</w:t>
      </w:r>
      <w:r w:rsidR="009368F5">
        <w:rPr>
          <w:rFonts w:eastAsia="Times New Roman"/>
          <w:color w:val="auto"/>
          <w:sz w:val="32"/>
          <w:szCs w:val="32"/>
        </w:rPr>
        <w:t xml:space="preserve"> </w:t>
      </w:r>
      <w:r w:rsidRPr="00497425">
        <w:rPr>
          <w:rFonts w:eastAsia="Times New Roman"/>
          <w:color w:val="auto"/>
          <w:sz w:val="32"/>
          <w:szCs w:val="32"/>
        </w:rPr>
        <w:t>—</w:t>
      </w:r>
      <w:r w:rsidR="009368F5">
        <w:rPr>
          <w:rFonts w:eastAsia="Times New Roman"/>
          <w:color w:val="auto"/>
          <w:sz w:val="32"/>
          <w:szCs w:val="32"/>
        </w:rPr>
        <w:t xml:space="preserve"> </w:t>
      </w:r>
      <w:r w:rsidRPr="00497425">
        <w:rPr>
          <w:rFonts w:eastAsia="Times New Roman"/>
          <w:color w:val="auto"/>
          <w:sz w:val="32"/>
          <w:szCs w:val="32"/>
        </w:rPr>
        <w:t>rest in the fact that funds and other capital market participants are</w:t>
      </w:r>
      <w:r w:rsidR="00425BEB">
        <w:rPr>
          <w:rFonts w:eastAsia="Times New Roman"/>
          <w:color w:val="auto"/>
          <w:sz w:val="32"/>
          <w:szCs w:val="32"/>
        </w:rPr>
        <w:t xml:space="preserve"> </w:t>
      </w:r>
      <w:r w:rsidRPr="009368F5">
        <w:rPr>
          <w:rFonts w:eastAsia="Times New Roman"/>
          <w:iCs/>
          <w:color w:val="auto"/>
          <w:sz w:val="32"/>
          <w:szCs w:val="32"/>
          <w:u w:val="single"/>
        </w:rPr>
        <w:t>not</w:t>
      </w:r>
      <w:r w:rsidR="00425BEB">
        <w:rPr>
          <w:rFonts w:eastAsia="Times New Roman"/>
          <w:iCs/>
          <w:color w:val="auto"/>
          <w:sz w:val="32"/>
          <w:szCs w:val="32"/>
          <w:u w:val="single"/>
        </w:rPr>
        <w:t xml:space="preserve"> </w:t>
      </w:r>
      <w:r w:rsidRPr="00497425">
        <w:rPr>
          <w:rFonts w:eastAsia="Times New Roman"/>
          <w:color w:val="auto"/>
          <w:sz w:val="32"/>
          <w:szCs w:val="32"/>
        </w:rPr>
        <w:t>banks, and are not regulated like banks</w:t>
      </w:r>
      <w:proofErr w:type="gramStart"/>
      <w:r w:rsidRPr="00497425">
        <w:rPr>
          <w:rFonts w:eastAsia="Times New Roman"/>
          <w:color w:val="auto"/>
          <w:sz w:val="32"/>
          <w:szCs w:val="32"/>
        </w:rPr>
        <w:t>.</w:t>
      </w:r>
      <w:r w:rsidR="009368F5">
        <w:rPr>
          <w:rFonts w:eastAsia="Times New Roman"/>
          <w:color w:val="auto"/>
          <w:sz w:val="32"/>
          <w:szCs w:val="32"/>
        </w:rPr>
        <w:t xml:space="preserve"> </w:t>
      </w:r>
      <w:r w:rsidR="00425BEB">
        <w:rPr>
          <w:rFonts w:eastAsia="Times New Roman"/>
          <w:color w:val="auto"/>
          <w:sz w:val="32"/>
          <w:szCs w:val="32"/>
        </w:rPr>
        <w:t xml:space="preserve"> </w:t>
      </w:r>
      <w:proofErr w:type="gramEnd"/>
      <w:r w:rsidRPr="00497425">
        <w:rPr>
          <w:rFonts w:eastAsia="Times New Roman"/>
          <w:color w:val="auto"/>
          <w:sz w:val="32"/>
          <w:szCs w:val="32"/>
        </w:rPr>
        <w:t xml:space="preserve">Undermining that financial diversity by imposing bank-style regulation on capital market participants will not serve </w:t>
      </w:r>
      <w:r w:rsidR="0057486E" w:rsidRPr="0057486E">
        <w:rPr>
          <w:rFonts w:eastAsia="Times New Roman"/>
          <w:color w:val="auto"/>
          <w:sz w:val="32"/>
          <w:szCs w:val="32"/>
        </w:rPr>
        <w:t>Europe’s economy well</w:t>
      </w:r>
      <w:r w:rsidR="0057486E">
        <w:rPr>
          <w:rFonts w:eastAsia="Times New Roman"/>
          <w:color w:val="auto"/>
          <w:sz w:val="32"/>
          <w:szCs w:val="32"/>
        </w:rPr>
        <w:t xml:space="preserve">, and in fact could </w:t>
      </w:r>
      <w:r w:rsidR="00576C63">
        <w:rPr>
          <w:rFonts w:eastAsia="Times New Roman"/>
          <w:color w:val="auto"/>
          <w:sz w:val="32"/>
          <w:szCs w:val="32"/>
        </w:rPr>
        <w:t xml:space="preserve">hamper </w:t>
      </w:r>
      <w:r w:rsidR="0057486E" w:rsidRPr="0057486E">
        <w:rPr>
          <w:rFonts w:eastAsia="Times New Roman"/>
          <w:color w:val="auto"/>
          <w:sz w:val="32"/>
          <w:szCs w:val="32"/>
        </w:rPr>
        <w:t xml:space="preserve">its future success. </w:t>
      </w:r>
      <w:r w:rsidR="00425BEB">
        <w:rPr>
          <w:rFonts w:eastAsia="Times New Roman"/>
          <w:color w:val="auto"/>
          <w:sz w:val="32"/>
          <w:szCs w:val="32"/>
        </w:rPr>
        <w:t xml:space="preserve"> </w:t>
      </w:r>
    </w:p>
    <w:p w14:paraId="54AF099C" w14:textId="4EBA7194" w:rsidR="0057486E" w:rsidRPr="0057486E" w:rsidRDefault="0057486E" w:rsidP="0057486E">
      <w:pPr>
        <w:pStyle w:val="Default"/>
        <w:spacing w:after="360" w:line="360" w:lineRule="auto"/>
        <w:ind w:left="2160"/>
        <w:rPr>
          <w:rFonts w:eastAsia="Times New Roman"/>
          <w:color w:val="auto"/>
          <w:sz w:val="32"/>
          <w:szCs w:val="32"/>
        </w:rPr>
      </w:pPr>
      <w:r w:rsidRPr="0057486E">
        <w:rPr>
          <w:rFonts w:eastAsia="Times New Roman"/>
          <w:color w:val="auto"/>
          <w:sz w:val="32"/>
          <w:szCs w:val="32"/>
        </w:rPr>
        <w:lastRenderedPageBreak/>
        <w:t>That is why it is so vital for us to pay close attention to these issues, and to make sure that policymakers get them right.</w:t>
      </w:r>
      <w:r w:rsidR="00425BEB">
        <w:rPr>
          <w:rFonts w:eastAsia="Times New Roman"/>
          <w:color w:val="auto"/>
          <w:sz w:val="32"/>
          <w:szCs w:val="32"/>
        </w:rPr>
        <w:t xml:space="preserve">  </w:t>
      </w:r>
    </w:p>
    <w:p w14:paraId="7E8DA048" w14:textId="61A40A7D" w:rsidR="00B34A24" w:rsidRPr="0057486E" w:rsidRDefault="0055156A" w:rsidP="0055156A">
      <w:pPr>
        <w:pStyle w:val="Default"/>
        <w:spacing w:after="360" w:line="360" w:lineRule="auto"/>
        <w:ind w:left="2160"/>
        <w:rPr>
          <w:rFonts w:eastAsia="Times New Roman"/>
          <w:color w:val="auto"/>
          <w:sz w:val="32"/>
          <w:szCs w:val="32"/>
        </w:rPr>
      </w:pPr>
      <w:r w:rsidRPr="0057486E">
        <w:rPr>
          <w:rFonts w:eastAsia="Times New Roman"/>
          <w:color w:val="auto"/>
          <w:sz w:val="32"/>
          <w:szCs w:val="32"/>
        </w:rPr>
        <w:t>Thank you for your time and attention.</w:t>
      </w:r>
      <w:r w:rsidR="009368F5">
        <w:rPr>
          <w:rFonts w:eastAsia="Times New Roman"/>
          <w:color w:val="auto"/>
          <w:sz w:val="32"/>
          <w:szCs w:val="32"/>
        </w:rPr>
        <w:t xml:space="preserve"> </w:t>
      </w:r>
      <w:r w:rsidR="00425BEB">
        <w:rPr>
          <w:rFonts w:eastAsia="Times New Roman"/>
          <w:color w:val="auto"/>
          <w:sz w:val="32"/>
          <w:szCs w:val="32"/>
        </w:rPr>
        <w:t xml:space="preserve"> </w:t>
      </w:r>
    </w:p>
    <w:p w14:paraId="2DAC28B7" w14:textId="40A2CC72" w:rsidR="00F13C28" w:rsidRDefault="00F13C28" w:rsidP="00F13C28">
      <w:pPr>
        <w:ind w:left="2160"/>
        <w:jc w:val="center"/>
        <w:rPr>
          <w:rFonts w:ascii="Arial" w:hAnsi="Arial" w:cs="Arial"/>
        </w:rPr>
      </w:pPr>
      <w:r>
        <w:rPr>
          <w:rFonts w:ascii="Arial" w:hAnsi="Arial" w:cs="Arial"/>
        </w:rPr>
        <w:t>###</w:t>
      </w:r>
    </w:p>
    <w:sectPr w:rsidR="00F13C28" w:rsidSect="008A0503">
      <w:headerReference w:type="default" r:id="rId18"/>
      <w:pgSz w:w="12240" w:h="15840"/>
      <w:pgMar w:top="1440" w:right="1440" w:bottom="1440" w:left="1440" w:header="720" w:footer="720" w:gutter="0"/>
      <w:pgNumType w:start="0"/>
      <w:cols w:space="720"/>
      <w:titlePg/>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1C998" w14:textId="77777777" w:rsidR="00B850F9" w:rsidRDefault="00B850F9" w:rsidP="00D637F5">
      <w:pPr>
        <w:spacing w:after="0" w:line="240" w:lineRule="auto"/>
      </w:pPr>
      <w:r>
        <w:separator/>
      </w:r>
    </w:p>
  </w:endnote>
  <w:endnote w:type="continuationSeparator" w:id="0">
    <w:p w14:paraId="58C90D37" w14:textId="77777777" w:rsidR="00B850F9" w:rsidRDefault="00B850F9" w:rsidP="00D6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C78E2" w14:textId="77777777" w:rsidR="00B850F9" w:rsidRDefault="00B850F9" w:rsidP="00D637F5">
      <w:pPr>
        <w:spacing w:after="0" w:line="240" w:lineRule="auto"/>
      </w:pPr>
      <w:r>
        <w:separator/>
      </w:r>
    </w:p>
  </w:footnote>
  <w:footnote w:type="continuationSeparator" w:id="0">
    <w:p w14:paraId="363EBE37" w14:textId="77777777" w:rsidR="00B850F9" w:rsidRDefault="00B850F9" w:rsidP="00D637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40659344"/>
      <w:docPartObj>
        <w:docPartGallery w:val="Page Numbers (Top of Page)"/>
        <w:docPartUnique/>
      </w:docPartObj>
    </w:sdtPr>
    <w:sdtEndPr>
      <w:rPr>
        <w:b/>
        <w:bCs/>
        <w:noProof/>
        <w:color w:val="auto"/>
        <w:spacing w:val="0"/>
      </w:rPr>
    </w:sdtEndPr>
    <w:sdtContent>
      <w:p w14:paraId="5BFD37A2" w14:textId="77777777" w:rsidR="00A430ED" w:rsidRDefault="00A430E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10A42" w:rsidRPr="00110A42">
          <w:rPr>
            <w:b/>
            <w:bCs/>
            <w:noProof/>
          </w:rPr>
          <w:t>1</w:t>
        </w:r>
        <w:r>
          <w:rPr>
            <w:b/>
            <w:bCs/>
            <w:noProof/>
          </w:rPr>
          <w:fldChar w:fldCharType="end"/>
        </w:r>
      </w:p>
    </w:sdtContent>
  </w:sdt>
  <w:p w14:paraId="1C4C24E9" w14:textId="77777777" w:rsidR="00A430ED" w:rsidRDefault="00A430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267"/>
    <w:multiLevelType w:val="hybridMultilevel"/>
    <w:tmpl w:val="D110DD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BF3115A"/>
    <w:multiLevelType w:val="hybridMultilevel"/>
    <w:tmpl w:val="A0F43C68"/>
    <w:lvl w:ilvl="0" w:tplc="C980C644">
      <w:start w:val="1"/>
      <w:numFmt w:val="bullet"/>
      <w:lvlText w:val="»"/>
      <w:lvlJc w:val="left"/>
      <w:pPr>
        <w:tabs>
          <w:tab w:val="num" w:pos="720"/>
        </w:tabs>
        <w:ind w:left="720" w:hanging="360"/>
      </w:pPr>
      <w:rPr>
        <w:rFonts w:ascii="Lucida Grande" w:hAnsi="Lucida Grande" w:hint="default"/>
      </w:rPr>
    </w:lvl>
    <w:lvl w:ilvl="1" w:tplc="D014502A">
      <w:start w:val="1"/>
      <w:numFmt w:val="bullet"/>
      <w:lvlText w:val="»"/>
      <w:lvlJc w:val="left"/>
      <w:pPr>
        <w:tabs>
          <w:tab w:val="num" w:pos="1440"/>
        </w:tabs>
        <w:ind w:left="1440" w:hanging="360"/>
      </w:pPr>
      <w:rPr>
        <w:rFonts w:ascii="Lucida Grande" w:hAnsi="Lucida Grande" w:hint="default"/>
      </w:rPr>
    </w:lvl>
    <w:lvl w:ilvl="2" w:tplc="C21AF42C" w:tentative="1">
      <w:start w:val="1"/>
      <w:numFmt w:val="bullet"/>
      <w:lvlText w:val="»"/>
      <w:lvlJc w:val="left"/>
      <w:pPr>
        <w:tabs>
          <w:tab w:val="num" w:pos="2160"/>
        </w:tabs>
        <w:ind w:left="2160" w:hanging="360"/>
      </w:pPr>
      <w:rPr>
        <w:rFonts w:ascii="Lucida Grande" w:hAnsi="Lucida Grande" w:hint="default"/>
      </w:rPr>
    </w:lvl>
    <w:lvl w:ilvl="3" w:tplc="DB84FF08" w:tentative="1">
      <w:start w:val="1"/>
      <w:numFmt w:val="bullet"/>
      <w:lvlText w:val="»"/>
      <w:lvlJc w:val="left"/>
      <w:pPr>
        <w:tabs>
          <w:tab w:val="num" w:pos="2880"/>
        </w:tabs>
        <w:ind w:left="2880" w:hanging="360"/>
      </w:pPr>
      <w:rPr>
        <w:rFonts w:ascii="Lucida Grande" w:hAnsi="Lucida Grande" w:hint="default"/>
      </w:rPr>
    </w:lvl>
    <w:lvl w:ilvl="4" w:tplc="9B48900A" w:tentative="1">
      <w:start w:val="1"/>
      <w:numFmt w:val="bullet"/>
      <w:lvlText w:val="»"/>
      <w:lvlJc w:val="left"/>
      <w:pPr>
        <w:tabs>
          <w:tab w:val="num" w:pos="3600"/>
        </w:tabs>
        <w:ind w:left="3600" w:hanging="360"/>
      </w:pPr>
      <w:rPr>
        <w:rFonts w:ascii="Lucida Grande" w:hAnsi="Lucida Grande" w:hint="default"/>
      </w:rPr>
    </w:lvl>
    <w:lvl w:ilvl="5" w:tplc="35E4CE24" w:tentative="1">
      <w:start w:val="1"/>
      <w:numFmt w:val="bullet"/>
      <w:lvlText w:val="»"/>
      <w:lvlJc w:val="left"/>
      <w:pPr>
        <w:tabs>
          <w:tab w:val="num" w:pos="4320"/>
        </w:tabs>
        <w:ind w:left="4320" w:hanging="360"/>
      </w:pPr>
      <w:rPr>
        <w:rFonts w:ascii="Lucida Grande" w:hAnsi="Lucida Grande" w:hint="default"/>
      </w:rPr>
    </w:lvl>
    <w:lvl w:ilvl="6" w:tplc="CDDCE9CC" w:tentative="1">
      <w:start w:val="1"/>
      <w:numFmt w:val="bullet"/>
      <w:lvlText w:val="»"/>
      <w:lvlJc w:val="left"/>
      <w:pPr>
        <w:tabs>
          <w:tab w:val="num" w:pos="5040"/>
        </w:tabs>
        <w:ind w:left="5040" w:hanging="360"/>
      </w:pPr>
      <w:rPr>
        <w:rFonts w:ascii="Lucida Grande" w:hAnsi="Lucida Grande" w:hint="default"/>
      </w:rPr>
    </w:lvl>
    <w:lvl w:ilvl="7" w:tplc="BA2CC3C6" w:tentative="1">
      <w:start w:val="1"/>
      <w:numFmt w:val="bullet"/>
      <w:lvlText w:val="»"/>
      <w:lvlJc w:val="left"/>
      <w:pPr>
        <w:tabs>
          <w:tab w:val="num" w:pos="5760"/>
        </w:tabs>
        <w:ind w:left="5760" w:hanging="360"/>
      </w:pPr>
      <w:rPr>
        <w:rFonts w:ascii="Lucida Grande" w:hAnsi="Lucida Grande" w:hint="default"/>
      </w:rPr>
    </w:lvl>
    <w:lvl w:ilvl="8" w:tplc="3CAC1190" w:tentative="1">
      <w:start w:val="1"/>
      <w:numFmt w:val="bullet"/>
      <w:lvlText w:val="»"/>
      <w:lvlJc w:val="left"/>
      <w:pPr>
        <w:tabs>
          <w:tab w:val="num" w:pos="6480"/>
        </w:tabs>
        <w:ind w:left="6480" w:hanging="360"/>
      </w:pPr>
      <w:rPr>
        <w:rFonts w:ascii="Lucida Grande" w:hAnsi="Lucida Grande" w:hint="default"/>
      </w:rPr>
    </w:lvl>
  </w:abstractNum>
  <w:abstractNum w:abstractNumId="2">
    <w:nsid w:val="11B620D5"/>
    <w:multiLevelType w:val="hybridMultilevel"/>
    <w:tmpl w:val="60A4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703CE"/>
    <w:multiLevelType w:val="hybridMultilevel"/>
    <w:tmpl w:val="7FCA0038"/>
    <w:lvl w:ilvl="0" w:tplc="31C6F23C">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AC62E0E"/>
    <w:multiLevelType w:val="multilevel"/>
    <w:tmpl w:val="F5B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2A45A5"/>
    <w:multiLevelType w:val="hybridMultilevel"/>
    <w:tmpl w:val="F5DEFF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1501535"/>
    <w:multiLevelType w:val="hybridMultilevel"/>
    <w:tmpl w:val="A9860EA8"/>
    <w:lvl w:ilvl="0" w:tplc="F73EA662">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AAC16D6"/>
    <w:multiLevelType w:val="hybridMultilevel"/>
    <w:tmpl w:val="75B8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B0F42"/>
    <w:multiLevelType w:val="hybridMultilevel"/>
    <w:tmpl w:val="3620F8C0"/>
    <w:lvl w:ilvl="0" w:tplc="42E247CE">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B0A4A15"/>
    <w:multiLevelType w:val="hybridMultilevel"/>
    <w:tmpl w:val="A22C23EA"/>
    <w:lvl w:ilvl="0" w:tplc="A13603CA">
      <w:numFmt w:val="bullet"/>
      <w:lvlText w:val=""/>
      <w:lvlJc w:val="left"/>
      <w:pPr>
        <w:ind w:left="3240" w:hanging="360"/>
      </w:pPr>
      <w:rPr>
        <w:rFonts w:ascii="Symbol" w:eastAsia="Times New Roman" w:hAnsi="Symbo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65CE5C69"/>
    <w:multiLevelType w:val="multilevel"/>
    <w:tmpl w:val="E6D8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742A39"/>
    <w:multiLevelType w:val="hybridMultilevel"/>
    <w:tmpl w:val="DE68C60C"/>
    <w:lvl w:ilvl="0" w:tplc="8696AE28">
      <w:start w:val="34"/>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A7646AE"/>
    <w:multiLevelType w:val="hybridMultilevel"/>
    <w:tmpl w:val="7F9033EA"/>
    <w:lvl w:ilvl="0" w:tplc="1EC6F192">
      <w:start w:val="1"/>
      <w:numFmt w:val="bullet"/>
      <w:lvlText w:val="•"/>
      <w:lvlJc w:val="left"/>
      <w:pPr>
        <w:tabs>
          <w:tab w:val="num" w:pos="720"/>
        </w:tabs>
        <w:ind w:left="720" w:hanging="360"/>
      </w:pPr>
      <w:rPr>
        <w:rFonts w:ascii="Arial" w:hAnsi="Arial" w:hint="default"/>
      </w:rPr>
    </w:lvl>
    <w:lvl w:ilvl="1" w:tplc="F2E61254">
      <w:start w:val="181"/>
      <w:numFmt w:val="bullet"/>
      <w:lvlText w:val=""/>
      <w:lvlJc w:val="left"/>
      <w:pPr>
        <w:tabs>
          <w:tab w:val="num" w:pos="1440"/>
        </w:tabs>
        <w:ind w:left="1440" w:hanging="360"/>
      </w:pPr>
      <w:rPr>
        <w:rFonts w:ascii="Wingdings" w:hAnsi="Wingdings" w:hint="default"/>
      </w:rPr>
    </w:lvl>
    <w:lvl w:ilvl="2" w:tplc="5DE44664" w:tentative="1">
      <w:start w:val="1"/>
      <w:numFmt w:val="bullet"/>
      <w:lvlText w:val="•"/>
      <w:lvlJc w:val="left"/>
      <w:pPr>
        <w:tabs>
          <w:tab w:val="num" w:pos="2160"/>
        </w:tabs>
        <w:ind w:left="2160" w:hanging="360"/>
      </w:pPr>
      <w:rPr>
        <w:rFonts w:ascii="Arial" w:hAnsi="Arial" w:hint="default"/>
      </w:rPr>
    </w:lvl>
    <w:lvl w:ilvl="3" w:tplc="F294C7C0" w:tentative="1">
      <w:start w:val="1"/>
      <w:numFmt w:val="bullet"/>
      <w:lvlText w:val="•"/>
      <w:lvlJc w:val="left"/>
      <w:pPr>
        <w:tabs>
          <w:tab w:val="num" w:pos="2880"/>
        </w:tabs>
        <w:ind w:left="2880" w:hanging="360"/>
      </w:pPr>
      <w:rPr>
        <w:rFonts w:ascii="Arial" w:hAnsi="Arial" w:hint="default"/>
      </w:rPr>
    </w:lvl>
    <w:lvl w:ilvl="4" w:tplc="CF6ACB2C" w:tentative="1">
      <w:start w:val="1"/>
      <w:numFmt w:val="bullet"/>
      <w:lvlText w:val="•"/>
      <w:lvlJc w:val="left"/>
      <w:pPr>
        <w:tabs>
          <w:tab w:val="num" w:pos="3600"/>
        </w:tabs>
        <w:ind w:left="3600" w:hanging="360"/>
      </w:pPr>
      <w:rPr>
        <w:rFonts w:ascii="Arial" w:hAnsi="Arial" w:hint="default"/>
      </w:rPr>
    </w:lvl>
    <w:lvl w:ilvl="5" w:tplc="CDEA1E50" w:tentative="1">
      <w:start w:val="1"/>
      <w:numFmt w:val="bullet"/>
      <w:lvlText w:val="•"/>
      <w:lvlJc w:val="left"/>
      <w:pPr>
        <w:tabs>
          <w:tab w:val="num" w:pos="4320"/>
        </w:tabs>
        <w:ind w:left="4320" w:hanging="360"/>
      </w:pPr>
      <w:rPr>
        <w:rFonts w:ascii="Arial" w:hAnsi="Arial" w:hint="default"/>
      </w:rPr>
    </w:lvl>
    <w:lvl w:ilvl="6" w:tplc="3A80AB40" w:tentative="1">
      <w:start w:val="1"/>
      <w:numFmt w:val="bullet"/>
      <w:lvlText w:val="•"/>
      <w:lvlJc w:val="left"/>
      <w:pPr>
        <w:tabs>
          <w:tab w:val="num" w:pos="5040"/>
        </w:tabs>
        <w:ind w:left="5040" w:hanging="360"/>
      </w:pPr>
      <w:rPr>
        <w:rFonts w:ascii="Arial" w:hAnsi="Arial" w:hint="default"/>
      </w:rPr>
    </w:lvl>
    <w:lvl w:ilvl="7" w:tplc="67966704" w:tentative="1">
      <w:start w:val="1"/>
      <w:numFmt w:val="bullet"/>
      <w:lvlText w:val="•"/>
      <w:lvlJc w:val="left"/>
      <w:pPr>
        <w:tabs>
          <w:tab w:val="num" w:pos="5760"/>
        </w:tabs>
        <w:ind w:left="5760" w:hanging="360"/>
      </w:pPr>
      <w:rPr>
        <w:rFonts w:ascii="Arial" w:hAnsi="Arial" w:hint="default"/>
      </w:rPr>
    </w:lvl>
    <w:lvl w:ilvl="8" w:tplc="79286898" w:tentative="1">
      <w:start w:val="1"/>
      <w:numFmt w:val="bullet"/>
      <w:lvlText w:val="•"/>
      <w:lvlJc w:val="left"/>
      <w:pPr>
        <w:tabs>
          <w:tab w:val="num" w:pos="6480"/>
        </w:tabs>
        <w:ind w:left="6480" w:hanging="360"/>
      </w:pPr>
      <w:rPr>
        <w:rFonts w:ascii="Arial" w:hAnsi="Arial" w:hint="default"/>
      </w:rPr>
    </w:lvl>
  </w:abstractNum>
  <w:abstractNum w:abstractNumId="13">
    <w:nsid w:val="7AB014B2"/>
    <w:multiLevelType w:val="hybridMultilevel"/>
    <w:tmpl w:val="6C8471EE"/>
    <w:lvl w:ilvl="0" w:tplc="170EF5D0">
      <w:start w:val="1"/>
      <w:numFmt w:val="bullet"/>
      <w:lvlText w:val="»"/>
      <w:lvlJc w:val="left"/>
      <w:pPr>
        <w:tabs>
          <w:tab w:val="num" w:pos="720"/>
        </w:tabs>
        <w:ind w:left="720" w:hanging="360"/>
      </w:pPr>
      <w:rPr>
        <w:rFonts w:ascii="Lucida Grande" w:hAnsi="Lucida Grande" w:hint="default"/>
      </w:rPr>
    </w:lvl>
    <w:lvl w:ilvl="1" w:tplc="F4748E98" w:tentative="1">
      <w:start w:val="1"/>
      <w:numFmt w:val="bullet"/>
      <w:lvlText w:val="»"/>
      <w:lvlJc w:val="left"/>
      <w:pPr>
        <w:tabs>
          <w:tab w:val="num" w:pos="1440"/>
        </w:tabs>
        <w:ind w:left="1440" w:hanging="360"/>
      </w:pPr>
      <w:rPr>
        <w:rFonts w:ascii="Lucida Grande" w:hAnsi="Lucida Grande" w:hint="default"/>
      </w:rPr>
    </w:lvl>
    <w:lvl w:ilvl="2" w:tplc="037AB212" w:tentative="1">
      <w:start w:val="1"/>
      <w:numFmt w:val="bullet"/>
      <w:lvlText w:val="»"/>
      <w:lvlJc w:val="left"/>
      <w:pPr>
        <w:tabs>
          <w:tab w:val="num" w:pos="2160"/>
        </w:tabs>
        <w:ind w:left="2160" w:hanging="360"/>
      </w:pPr>
      <w:rPr>
        <w:rFonts w:ascii="Lucida Grande" w:hAnsi="Lucida Grande" w:hint="default"/>
      </w:rPr>
    </w:lvl>
    <w:lvl w:ilvl="3" w:tplc="E57447D4" w:tentative="1">
      <w:start w:val="1"/>
      <w:numFmt w:val="bullet"/>
      <w:lvlText w:val="»"/>
      <w:lvlJc w:val="left"/>
      <w:pPr>
        <w:tabs>
          <w:tab w:val="num" w:pos="2880"/>
        </w:tabs>
        <w:ind w:left="2880" w:hanging="360"/>
      </w:pPr>
      <w:rPr>
        <w:rFonts w:ascii="Lucida Grande" w:hAnsi="Lucida Grande" w:hint="default"/>
      </w:rPr>
    </w:lvl>
    <w:lvl w:ilvl="4" w:tplc="F0AA6E14" w:tentative="1">
      <w:start w:val="1"/>
      <w:numFmt w:val="bullet"/>
      <w:lvlText w:val="»"/>
      <w:lvlJc w:val="left"/>
      <w:pPr>
        <w:tabs>
          <w:tab w:val="num" w:pos="3600"/>
        </w:tabs>
        <w:ind w:left="3600" w:hanging="360"/>
      </w:pPr>
      <w:rPr>
        <w:rFonts w:ascii="Lucida Grande" w:hAnsi="Lucida Grande" w:hint="default"/>
      </w:rPr>
    </w:lvl>
    <w:lvl w:ilvl="5" w:tplc="5CB2A3EA" w:tentative="1">
      <w:start w:val="1"/>
      <w:numFmt w:val="bullet"/>
      <w:lvlText w:val="»"/>
      <w:lvlJc w:val="left"/>
      <w:pPr>
        <w:tabs>
          <w:tab w:val="num" w:pos="4320"/>
        </w:tabs>
        <w:ind w:left="4320" w:hanging="360"/>
      </w:pPr>
      <w:rPr>
        <w:rFonts w:ascii="Lucida Grande" w:hAnsi="Lucida Grande" w:hint="default"/>
      </w:rPr>
    </w:lvl>
    <w:lvl w:ilvl="6" w:tplc="DEFE3422" w:tentative="1">
      <w:start w:val="1"/>
      <w:numFmt w:val="bullet"/>
      <w:lvlText w:val="»"/>
      <w:lvlJc w:val="left"/>
      <w:pPr>
        <w:tabs>
          <w:tab w:val="num" w:pos="5040"/>
        </w:tabs>
        <w:ind w:left="5040" w:hanging="360"/>
      </w:pPr>
      <w:rPr>
        <w:rFonts w:ascii="Lucida Grande" w:hAnsi="Lucida Grande" w:hint="default"/>
      </w:rPr>
    </w:lvl>
    <w:lvl w:ilvl="7" w:tplc="8D06B010" w:tentative="1">
      <w:start w:val="1"/>
      <w:numFmt w:val="bullet"/>
      <w:lvlText w:val="»"/>
      <w:lvlJc w:val="left"/>
      <w:pPr>
        <w:tabs>
          <w:tab w:val="num" w:pos="5760"/>
        </w:tabs>
        <w:ind w:left="5760" w:hanging="360"/>
      </w:pPr>
      <w:rPr>
        <w:rFonts w:ascii="Lucida Grande" w:hAnsi="Lucida Grande" w:hint="default"/>
      </w:rPr>
    </w:lvl>
    <w:lvl w:ilvl="8" w:tplc="E0D4BBEE" w:tentative="1">
      <w:start w:val="1"/>
      <w:numFmt w:val="bullet"/>
      <w:lvlText w:val="»"/>
      <w:lvlJc w:val="left"/>
      <w:pPr>
        <w:tabs>
          <w:tab w:val="num" w:pos="6480"/>
        </w:tabs>
        <w:ind w:left="6480" w:hanging="360"/>
      </w:pPr>
      <w:rPr>
        <w:rFonts w:ascii="Lucida Grande" w:hAnsi="Lucida Grande" w:hint="default"/>
      </w:rPr>
    </w:lvl>
  </w:abstractNum>
  <w:abstractNum w:abstractNumId="14">
    <w:nsid w:val="7DA57123"/>
    <w:multiLevelType w:val="hybridMultilevel"/>
    <w:tmpl w:val="164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8"/>
  </w:num>
  <w:num w:numId="5">
    <w:abstractNumId w:val="13"/>
  </w:num>
  <w:num w:numId="6">
    <w:abstractNumId w:val="1"/>
  </w:num>
  <w:num w:numId="7">
    <w:abstractNumId w:val="12"/>
  </w:num>
  <w:num w:numId="8">
    <w:abstractNumId w:val="6"/>
  </w:num>
  <w:num w:numId="9">
    <w:abstractNumId w:val="11"/>
  </w:num>
  <w:num w:numId="10">
    <w:abstractNumId w:val="3"/>
  </w:num>
  <w:num w:numId="11">
    <w:abstractNumId w:val="9"/>
  </w:num>
  <w:num w:numId="12">
    <w:abstractNumId w:val="7"/>
  </w:num>
  <w:num w:numId="13">
    <w:abstractNumId w:val="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F5"/>
    <w:rsid w:val="00004F63"/>
    <w:rsid w:val="00010EB2"/>
    <w:rsid w:val="000116A8"/>
    <w:rsid w:val="000134E3"/>
    <w:rsid w:val="00014B62"/>
    <w:rsid w:val="00021476"/>
    <w:rsid w:val="00022765"/>
    <w:rsid w:val="00033E90"/>
    <w:rsid w:val="00034002"/>
    <w:rsid w:val="0003739D"/>
    <w:rsid w:val="00042D07"/>
    <w:rsid w:val="00046014"/>
    <w:rsid w:val="00046335"/>
    <w:rsid w:val="000553AE"/>
    <w:rsid w:val="00061F25"/>
    <w:rsid w:val="00064F4D"/>
    <w:rsid w:val="00065721"/>
    <w:rsid w:val="000674EE"/>
    <w:rsid w:val="00074D8B"/>
    <w:rsid w:val="00077034"/>
    <w:rsid w:val="00077918"/>
    <w:rsid w:val="00081DBC"/>
    <w:rsid w:val="00086D85"/>
    <w:rsid w:val="00090639"/>
    <w:rsid w:val="000927DF"/>
    <w:rsid w:val="000A176B"/>
    <w:rsid w:val="000A4DB1"/>
    <w:rsid w:val="000A771B"/>
    <w:rsid w:val="000B0C80"/>
    <w:rsid w:val="000B1BF0"/>
    <w:rsid w:val="000B4B23"/>
    <w:rsid w:val="000C182F"/>
    <w:rsid w:val="000D1799"/>
    <w:rsid w:val="000D281E"/>
    <w:rsid w:val="000D4241"/>
    <w:rsid w:val="000E030E"/>
    <w:rsid w:val="000E4C05"/>
    <w:rsid w:val="000F0B2E"/>
    <w:rsid w:val="000F1716"/>
    <w:rsid w:val="000F4190"/>
    <w:rsid w:val="000F5E5A"/>
    <w:rsid w:val="000F70A9"/>
    <w:rsid w:val="000F783E"/>
    <w:rsid w:val="00107C06"/>
    <w:rsid w:val="00107EA4"/>
    <w:rsid w:val="00110A42"/>
    <w:rsid w:val="00114A38"/>
    <w:rsid w:val="00114AEC"/>
    <w:rsid w:val="001231B7"/>
    <w:rsid w:val="0013650F"/>
    <w:rsid w:val="00136819"/>
    <w:rsid w:val="00136E64"/>
    <w:rsid w:val="00137B13"/>
    <w:rsid w:val="0015035E"/>
    <w:rsid w:val="00150CB0"/>
    <w:rsid w:val="00160B05"/>
    <w:rsid w:val="00161BE5"/>
    <w:rsid w:val="00161C24"/>
    <w:rsid w:val="00163F4A"/>
    <w:rsid w:val="001646A6"/>
    <w:rsid w:val="00166D9E"/>
    <w:rsid w:val="00167263"/>
    <w:rsid w:val="00176219"/>
    <w:rsid w:val="001828A3"/>
    <w:rsid w:val="0018368B"/>
    <w:rsid w:val="00191E55"/>
    <w:rsid w:val="0019655E"/>
    <w:rsid w:val="001968F5"/>
    <w:rsid w:val="001A51FE"/>
    <w:rsid w:val="001A59E3"/>
    <w:rsid w:val="001B464E"/>
    <w:rsid w:val="001B4CFD"/>
    <w:rsid w:val="001B4D25"/>
    <w:rsid w:val="001B4F4C"/>
    <w:rsid w:val="001B5D7A"/>
    <w:rsid w:val="001C21A8"/>
    <w:rsid w:val="001D0B96"/>
    <w:rsid w:val="001E3E3C"/>
    <w:rsid w:val="001E4FEB"/>
    <w:rsid w:val="001E506B"/>
    <w:rsid w:val="001E58F7"/>
    <w:rsid w:val="001E6B35"/>
    <w:rsid w:val="001F1271"/>
    <w:rsid w:val="001F2513"/>
    <w:rsid w:val="001F27EC"/>
    <w:rsid w:val="00202A7D"/>
    <w:rsid w:val="0020380A"/>
    <w:rsid w:val="002044A9"/>
    <w:rsid w:val="002047F4"/>
    <w:rsid w:val="002071AA"/>
    <w:rsid w:val="0021297B"/>
    <w:rsid w:val="002130C1"/>
    <w:rsid w:val="00213EBC"/>
    <w:rsid w:val="002140E0"/>
    <w:rsid w:val="00220D5E"/>
    <w:rsid w:val="00221271"/>
    <w:rsid w:val="00222E0D"/>
    <w:rsid w:val="00223355"/>
    <w:rsid w:val="0022449F"/>
    <w:rsid w:val="0022471C"/>
    <w:rsid w:val="0022680A"/>
    <w:rsid w:val="00230C41"/>
    <w:rsid w:val="0023277F"/>
    <w:rsid w:val="00232AA6"/>
    <w:rsid w:val="00232D06"/>
    <w:rsid w:val="002351E3"/>
    <w:rsid w:val="00235FF2"/>
    <w:rsid w:val="00236E95"/>
    <w:rsid w:val="00237B7B"/>
    <w:rsid w:val="002443D9"/>
    <w:rsid w:val="00244759"/>
    <w:rsid w:val="0024765F"/>
    <w:rsid w:val="00251C85"/>
    <w:rsid w:val="00253850"/>
    <w:rsid w:val="00253EFF"/>
    <w:rsid w:val="00254DD4"/>
    <w:rsid w:val="00261A89"/>
    <w:rsid w:val="002634F0"/>
    <w:rsid w:val="00264FF7"/>
    <w:rsid w:val="00272562"/>
    <w:rsid w:val="002735C0"/>
    <w:rsid w:val="002822F3"/>
    <w:rsid w:val="002829F9"/>
    <w:rsid w:val="00286992"/>
    <w:rsid w:val="00293250"/>
    <w:rsid w:val="00293E19"/>
    <w:rsid w:val="00293E30"/>
    <w:rsid w:val="00293F83"/>
    <w:rsid w:val="00294BFF"/>
    <w:rsid w:val="00294C6D"/>
    <w:rsid w:val="0029596F"/>
    <w:rsid w:val="002A0303"/>
    <w:rsid w:val="002A437C"/>
    <w:rsid w:val="002A5C69"/>
    <w:rsid w:val="002A73B9"/>
    <w:rsid w:val="002B0665"/>
    <w:rsid w:val="002B30E1"/>
    <w:rsid w:val="002C1218"/>
    <w:rsid w:val="002C2303"/>
    <w:rsid w:val="002C34DA"/>
    <w:rsid w:val="002C77A9"/>
    <w:rsid w:val="002D0C1F"/>
    <w:rsid w:val="002D24F4"/>
    <w:rsid w:val="002D2E0A"/>
    <w:rsid w:val="002D520B"/>
    <w:rsid w:val="002E59E7"/>
    <w:rsid w:val="002F2CA1"/>
    <w:rsid w:val="002F42EB"/>
    <w:rsid w:val="002F5252"/>
    <w:rsid w:val="00301F10"/>
    <w:rsid w:val="003064E2"/>
    <w:rsid w:val="00306759"/>
    <w:rsid w:val="00310E63"/>
    <w:rsid w:val="00315487"/>
    <w:rsid w:val="0031639D"/>
    <w:rsid w:val="003168D0"/>
    <w:rsid w:val="00316C88"/>
    <w:rsid w:val="0031794C"/>
    <w:rsid w:val="00321A4C"/>
    <w:rsid w:val="003224EA"/>
    <w:rsid w:val="00322939"/>
    <w:rsid w:val="00325686"/>
    <w:rsid w:val="00325C31"/>
    <w:rsid w:val="00331E87"/>
    <w:rsid w:val="003375B8"/>
    <w:rsid w:val="00341449"/>
    <w:rsid w:val="0034202F"/>
    <w:rsid w:val="00343264"/>
    <w:rsid w:val="003454EC"/>
    <w:rsid w:val="00346D9B"/>
    <w:rsid w:val="003519E9"/>
    <w:rsid w:val="00354091"/>
    <w:rsid w:val="0035663E"/>
    <w:rsid w:val="00356708"/>
    <w:rsid w:val="00362664"/>
    <w:rsid w:val="0036283B"/>
    <w:rsid w:val="00362B91"/>
    <w:rsid w:val="00364DE8"/>
    <w:rsid w:val="0036502A"/>
    <w:rsid w:val="00372001"/>
    <w:rsid w:val="00373133"/>
    <w:rsid w:val="00374CE1"/>
    <w:rsid w:val="003753A0"/>
    <w:rsid w:val="00377AA1"/>
    <w:rsid w:val="00377F9F"/>
    <w:rsid w:val="00382894"/>
    <w:rsid w:val="00384280"/>
    <w:rsid w:val="00384E74"/>
    <w:rsid w:val="00386C83"/>
    <w:rsid w:val="003878AF"/>
    <w:rsid w:val="0039041D"/>
    <w:rsid w:val="003930E7"/>
    <w:rsid w:val="0039522B"/>
    <w:rsid w:val="00396664"/>
    <w:rsid w:val="00396EF4"/>
    <w:rsid w:val="00396F75"/>
    <w:rsid w:val="003978EB"/>
    <w:rsid w:val="003A2CB8"/>
    <w:rsid w:val="003A2CC3"/>
    <w:rsid w:val="003A3084"/>
    <w:rsid w:val="003B2AF9"/>
    <w:rsid w:val="003B695B"/>
    <w:rsid w:val="003C0635"/>
    <w:rsid w:val="003C0CDE"/>
    <w:rsid w:val="003C2D0A"/>
    <w:rsid w:val="003C31D9"/>
    <w:rsid w:val="003C4C68"/>
    <w:rsid w:val="003C7EFC"/>
    <w:rsid w:val="003D1E82"/>
    <w:rsid w:val="003D3DC9"/>
    <w:rsid w:val="003D5820"/>
    <w:rsid w:val="003D59B3"/>
    <w:rsid w:val="003D59DA"/>
    <w:rsid w:val="003D71A0"/>
    <w:rsid w:val="003E0711"/>
    <w:rsid w:val="003E5454"/>
    <w:rsid w:val="003E5B75"/>
    <w:rsid w:val="003F6CF2"/>
    <w:rsid w:val="00402950"/>
    <w:rsid w:val="00404C04"/>
    <w:rsid w:val="00412403"/>
    <w:rsid w:val="00416D9E"/>
    <w:rsid w:val="00416FE7"/>
    <w:rsid w:val="00420F2F"/>
    <w:rsid w:val="004220BD"/>
    <w:rsid w:val="00422E1E"/>
    <w:rsid w:val="004252D8"/>
    <w:rsid w:val="004253E4"/>
    <w:rsid w:val="00425AB3"/>
    <w:rsid w:val="00425BEB"/>
    <w:rsid w:val="00430998"/>
    <w:rsid w:val="00432EA5"/>
    <w:rsid w:val="004410FC"/>
    <w:rsid w:val="0044301F"/>
    <w:rsid w:val="004444DA"/>
    <w:rsid w:val="00446317"/>
    <w:rsid w:val="004473FF"/>
    <w:rsid w:val="00450061"/>
    <w:rsid w:val="00452F95"/>
    <w:rsid w:val="00454C2D"/>
    <w:rsid w:val="00456FC6"/>
    <w:rsid w:val="004609F8"/>
    <w:rsid w:val="00461E47"/>
    <w:rsid w:val="00466381"/>
    <w:rsid w:val="0047058C"/>
    <w:rsid w:val="00471243"/>
    <w:rsid w:val="0047635F"/>
    <w:rsid w:val="0047761D"/>
    <w:rsid w:val="00481CA9"/>
    <w:rsid w:val="00483D75"/>
    <w:rsid w:val="004846E7"/>
    <w:rsid w:val="00485E63"/>
    <w:rsid w:val="00492CD7"/>
    <w:rsid w:val="004939B1"/>
    <w:rsid w:val="00497425"/>
    <w:rsid w:val="004A0AB8"/>
    <w:rsid w:val="004A0E50"/>
    <w:rsid w:val="004A17F3"/>
    <w:rsid w:val="004B2676"/>
    <w:rsid w:val="004B3518"/>
    <w:rsid w:val="004B67CF"/>
    <w:rsid w:val="004C23C5"/>
    <w:rsid w:val="004C3A87"/>
    <w:rsid w:val="004C6297"/>
    <w:rsid w:val="004D1703"/>
    <w:rsid w:val="004D4F1B"/>
    <w:rsid w:val="004D5825"/>
    <w:rsid w:val="004D719C"/>
    <w:rsid w:val="004E4083"/>
    <w:rsid w:val="004E7E15"/>
    <w:rsid w:val="004F430B"/>
    <w:rsid w:val="004F4655"/>
    <w:rsid w:val="004F6E97"/>
    <w:rsid w:val="004F7C56"/>
    <w:rsid w:val="00501648"/>
    <w:rsid w:val="0050360D"/>
    <w:rsid w:val="00505799"/>
    <w:rsid w:val="005079FA"/>
    <w:rsid w:val="0051482A"/>
    <w:rsid w:val="0051629B"/>
    <w:rsid w:val="00516F82"/>
    <w:rsid w:val="005200BE"/>
    <w:rsid w:val="005231F9"/>
    <w:rsid w:val="00524918"/>
    <w:rsid w:val="00524DB6"/>
    <w:rsid w:val="00527F9B"/>
    <w:rsid w:val="00531F67"/>
    <w:rsid w:val="00532983"/>
    <w:rsid w:val="005346BB"/>
    <w:rsid w:val="005408E7"/>
    <w:rsid w:val="00543ECE"/>
    <w:rsid w:val="0055156A"/>
    <w:rsid w:val="0055172D"/>
    <w:rsid w:val="00552466"/>
    <w:rsid w:val="00555802"/>
    <w:rsid w:val="005579B8"/>
    <w:rsid w:val="00561BAC"/>
    <w:rsid w:val="00565CA2"/>
    <w:rsid w:val="0057486E"/>
    <w:rsid w:val="00576C63"/>
    <w:rsid w:val="0058025E"/>
    <w:rsid w:val="00580984"/>
    <w:rsid w:val="0058258F"/>
    <w:rsid w:val="00585B65"/>
    <w:rsid w:val="00593498"/>
    <w:rsid w:val="005A03A9"/>
    <w:rsid w:val="005A1991"/>
    <w:rsid w:val="005A3423"/>
    <w:rsid w:val="005A6942"/>
    <w:rsid w:val="005A6AEE"/>
    <w:rsid w:val="005B0FD4"/>
    <w:rsid w:val="005B361F"/>
    <w:rsid w:val="005B3A95"/>
    <w:rsid w:val="005B5119"/>
    <w:rsid w:val="005B6726"/>
    <w:rsid w:val="005B788D"/>
    <w:rsid w:val="005C02C2"/>
    <w:rsid w:val="005C02C4"/>
    <w:rsid w:val="005C22DF"/>
    <w:rsid w:val="005C3600"/>
    <w:rsid w:val="005C56AC"/>
    <w:rsid w:val="005C7B14"/>
    <w:rsid w:val="005D58FE"/>
    <w:rsid w:val="005E17D9"/>
    <w:rsid w:val="005E2B45"/>
    <w:rsid w:val="005F0854"/>
    <w:rsid w:val="005F10D1"/>
    <w:rsid w:val="005F43DB"/>
    <w:rsid w:val="005F5C62"/>
    <w:rsid w:val="005F7A06"/>
    <w:rsid w:val="006008B6"/>
    <w:rsid w:val="00607261"/>
    <w:rsid w:val="00610EAB"/>
    <w:rsid w:val="0061544F"/>
    <w:rsid w:val="00615EAC"/>
    <w:rsid w:val="00615F79"/>
    <w:rsid w:val="006213F5"/>
    <w:rsid w:val="0062189E"/>
    <w:rsid w:val="00624F89"/>
    <w:rsid w:val="00625974"/>
    <w:rsid w:val="0062699D"/>
    <w:rsid w:val="00631D87"/>
    <w:rsid w:val="006320DE"/>
    <w:rsid w:val="00632495"/>
    <w:rsid w:val="006350E0"/>
    <w:rsid w:val="00637B25"/>
    <w:rsid w:val="00637B6E"/>
    <w:rsid w:val="00642DC0"/>
    <w:rsid w:val="00643233"/>
    <w:rsid w:val="006463BC"/>
    <w:rsid w:val="00647EC3"/>
    <w:rsid w:val="006502E8"/>
    <w:rsid w:val="00651B8B"/>
    <w:rsid w:val="006535F2"/>
    <w:rsid w:val="006537CE"/>
    <w:rsid w:val="00654299"/>
    <w:rsid w:val="0065764E"/>
    <w:rsid w:val="00657E67"/>
    <w:rsid w:val="006600B8"/>
    <w:rsid w:val="006600CC"/>
    <w:rsid w:val="00661C03"/>
    <w:rsid w:val="006643B1"/>
    <w:rsid w:val="0067149D"/>
    <w:rsid w:val="006717E7"/>
    <w:rsid w:val="00677469"/>
    <w:rsid w:val="00682740"/>
    <w:rsid w:val="00683669"/>
    <w:rsid w:val="0068568D"/>
    <w:rsid w:val="00687C31"/>
    <w:rsid w:val="00690FE9"/>
    <w:rsid w:val="0069301A"/>
    <w:rsid w:val="00693614"/>
    <w:rsid w:val="006A3571"/>
    <w:rsid w:val="006A3692"/>
    <w:rsid w:val="006B2B73"/>
    <w:rsid w:val="006C57A0"/>
    <w:rsid w:val="006C6CA1"/>
    <w:rsid w:val="006D2906"/>
    <w:rsid w:val="006D4ED5"/>
    <w:rsid w:val="006D672E"/>
    <w:rsid w:val="006E1635"/>
    <w:rsid w:val="006E1E08"/>
    <w:rsid w:val="006E31D5"/>
    <w:rsid w:val="006F1509"/>
    <w:rsid w:val="006F2868"/>
    <w:rsid w:val="006F5139"/>
    <w:rsid w:val="006F6AE3"/>
    <w:rsid w:val="00700C5A"/>
    <w:rsid w:val="007020FB"/>
    <w:rsid w:val="0070556D"/>
    <w:rsid w:val="0070561A"/>
    <w:rsid w:val="00711937"/>
    <w:rsid w:val="0071344D"/>
    <w:rsid w:val="00716A9D"/>
    <w:rsid w:val="00721799"/>
    <w:rsid w:val="0072245D"/>
    <w:rsid w:val="00722F47"/>
    <w:rsid w:val="00723E08"/>
    <w:rsid w:val="00726237"/>
    <w:rsid w:val="0072757B"/>
    <w:rsid w:val="007353B2"/>
    <w:rsid w:val="00737EAD"/>
    <w:rsid w:val="0074177D"/>
    <w:rsid w:val="00742A6E"/>
    <w:rsid w:val="00742BE2"/>
    <w:rsid w:val="00743554"/>
    <w:rsid w:val="00746E8B"/>
    <w:rsid w:val="0074773F"/>
    <w:rsid w:val="00752BBC"/>
    <w:rsid w:val="00752CB0"/>
    <w:rsid w:val="00752EE7"/>
    <w:rsid w:val="00755715"/>
    <w:rsid w:val="00756EAC"/>
    <w:rsid w:val="00760166"/>
    <w:rsid w:val="00763B06"/>
    <w:rsid w:val="007640F3"/>
    <w:rsid w:val="00766AF4"/>
    <w:rsid w:val="00780574"/>
    <w:rsid w:val="007856CE"/>
    <w:rsid w:val="00790548"/>
    <w:rsid w:val="007942E1"/>
    <w:rsid w:val="007943BF"/>
    <w:rsid w:val="007943C0"/>
    <w:rsid w:val="007948D5"/>
    <w:rsid w:val="007A614F"/>
    <w:rsid w:val="007B28BB"/>
    <w:rsid w:val="007B374E"/>
    <w:rsid w:val="007B6710"/>
    <w:rsid w:val="007C0D37"/>
    <w:rsid w:val="007C3442"/>
    <w:rsid w:val="007C371B"/>
    <w:rsid w:val="007C5B56"/>
    <w:rsid w:val="007D28DA"/>
    <w:rsid w:val="007D2C17"/>
    <w:rsid w:val="007D444B"/>
    <w:rsid w:val="007D55A8"/>
    <w:rsid w:val="007E3208"/>
    <w:rsid w:val="007E4CDC"/>
    <w:rsid w:val="007E64A5"/>
    <w:rsid w:val="007E71DB"/>
    <w:rsid w:val="007F305E"/>
    <w:rsid w:val="007F3941"/>
    <w:rsid w:val="007F4D38"/>
    <w:rsid w:val="008030D1"/>
    <w:rsid w:val="00804AE6"/>
    <w:rsid w:val="008056B1"/>
    <w:rsid w:val="00807B01"/>
    <w:rsid w:val="00807CA3"/>
    <w:rsid w:val="00810FEC"/>
    <w:rsid w:val="00812214"/>
    <w:rsid w:val="008133A7"/>
    <w:rsid w:val="00814CF7"/>
    <w:rsid w:val="00816184"/>
    <w:rsid w:val="00816D5A"/>
    <w:rsid w:val="008176F1"/>
    <w:rsid w:val="0082429D"/>
    <w:rsid w:val="0082459E"/>
    <w:rsid w:val="008254A4"/>
    <w:rsid w:val="00826828"/>
    <w:rsid w:val="0083103E"/>
    <w:rsid w:val="008310F8"/>
    <w:rsid w:val="00831DC3"/>
    <w:rsid w:val="0083253E"/>
    <w:rsid w:val="00835DB6"/>
    <w:rsid w:val="0083767F"/>
    <w:rsid w:val="00837CD3"/>
    <w:rsid w:val="00842C6B"/>
    <w:rsid w:val="008447D5"/>
    <w:rsid w:val="008449B6"/>
    <w:rsid w:val="0084732E"/>
    <w:rsid w:val="008527A5"/>
    <w:rsid w:val="00855EAB"/>
    <w:rsid w:val="008566CC"/>
    <w:rsid w:val="00856DC8"/>
    <w:rsid w:val="008619A4"/>
    <w:rsid w:val="00862815"/>
    <w:rsid w:val="0086284F"/>
    <w:rsid w:val="00863730"/>
    <w:rsid w:val="00866B00"/>
    <w:rsid w:val="008675D7"/>
    <w:rsid w:val="00867CF5"/>
    <w:rsid w:val="008703DE"/>
    <w:rsid w:val="008738C3"/>
    <w:rsid w:val="008748A7"/>
    <w:rsid w:val="00875D56"/>
    <w:rsid w:val="00881015"/>
    <w:rsid w:val="00884293"/>
    <w:rsid w:val="008856F6"/>
    <w:rsid w:val="00885B02"/>
    <w:rsid w:val="0088774F"/>
    <w:rsid w:val="00887C79"/>
    <w:rsid w:val="008A0503"/>
    <w:rsid w:val="008A4B4C"/>
    <w:rsid w:val="008B02C1"/>
    <w:rsid w:val="008B2BD4"/>
    <w:rsid w:val="008B488A"/>
    <w:rsid w:val="008B5EC6"/>
    <w:rsid w:val="008B69EA"/>
    <w:rsid w:val="008B76BF"/>
    <w:rsid w:val="008B7BBE"/>
    <w:rsid w:val="008C51E6"/>
    <w:rsid w:val="008D595C"/>
    <w:rsid w:val="008D5D07"/>
    <w:rsid w:val="008D72C8"/>
    <w:rsid w:val="008E2405"/>
    <w:rsid w:val="008E2D3A"/>
    <w:rsid w:val="008E2FF8"/>
    <w:rsid w:val="008E3090"/>
    <w:rsid w:val="008E599B"/>
    <w:rsid w:val="008F0C54"/>
    <w:rsid w:val="008F57F9"/>
    <w:rsid w:val="008F5E25"/>
    <w:rsid w:val="008F5F23"/>
    <w:rsid w:val="008F7D19"/>
    <w:rsid w:val="0090258A"/>
    <w:rsid w:val="0090507D"/>
    <w:rsid w:val="00905AD5"/>
    <w:rsid w:val="00906024"/>
    <w:rsid w:val="00906551"/>
    <w:rsid w:val="009103E1"/>
    <w:rsid w:val="00911FC8"/>
    <w:rsid w:val="00914BFD"/>
    <w:rsid w:val="00915620"/>
    <w:rsid w:val="00917547"/>
    <w:rsid w:val="00923277"/>
    <w:rsid w:val="00923C98"/>
    <w:rsid w:val="0092659C"/>
    <w:rsid w:val="00927F2F"/>
    <w:rsid w:val="009368F5"/>
    <w:rsid w:val="009377E9"/>
    <w:rsid w:val="00937950"/>
    <w:rsid w:val="009403E1"/>
    <w:rsid w:val="00943082"/>
    <w:rsid w:val="00943228"/>
    <w:rsid w:val="009443E2"/>
    <w:rsid w:val="00947514"/>
    <w:rsid w:val="00947A93"/>
    <w:rsid w:val="00954348"/>
    <w:rsid w:val="009606AE"/>
    <w:rsid w:val="00960B3C"/>
    <w:rsid w:val="00962023"/>
    <w:rsid w:val="009622AD"/>
    <w:rsid w:val="009658D9"/>
    <w:rsid w:val="009667B8"/>
    <w:rsid w:val="00966C74"/>
    <w:rsid w:val="009672A8"/>
    <w:rsid w:val="00967EB7"/>
    <w:rsid w:val="009724A2"/>
    <w:rsid w:val="009754FF"/>
    <w:rsid w:val="00976EAE"/>
    <w:rsid w:val="009800C6"/>
    <w:rsid w:val="00981367"/>
    <w:rsid w:val="00981B97"/>
    <w:rsid w:val="00982480"/>
    <w:rsid w:val="0098392D"/>
    <w:rsid w:val="00983D9C"/>
    <w:rsid w:val="00984D3A"/>
    <w:rsid w:val="009851AB"/>
    <w:rsid w:val="00985B02"/>
    <w:rsid w:val="00986BF3"/>
    <w:rsid w:val="00990D4C"/>
    <w:rsid w:val="009919F4"/>
    <w:rsid w:val="00995453"/>
    <w:rsid w:val="009A0457"/>
    <w:rsid w:val="009A1F5B"/>
    <w:rsid w:val="009A2C48"/>
    <w:rsid w:val="009A57AE"/>
    <w:rsid w:val="009A6D96"/>
    <w:rsid w:val="009B4BEA"/>
    <w:rsid w:val="009B7689"/>
    <w:rsid w:val="009C2156"/>
    <w:rsid w:val="009C4C29"/>
    <w:rsid w:val="009C6093"/>
    <w:rsid w:val="009C6768"/>
    <w:rsid w:val="009D1C4A"/>
    <w:rsid w:val="009D3653"/>
    <w:rsid w:val="009D67F6"/>
    <w:rsid w:val="009D681D"/>
    <w:rsid w:val="009E1815"/>
    <w:rsid w:val="009E6A9C"/>
    <w:rsid w:val="009E7C7A"/>
    <w:rsid w:val="009F20F5"/>
    <w:rsid w:val="009F257E"/>
    <w:rsid w:val="009F5D3B"/>
    <w:rsid w:val="00A01401"/>
    <w:rsid w:val="00A0265C"/>
    <w:rsid w:val="00A05BB1"/>
    <w:rsid w:val="00A0741C"/>
    <w:rsid w:val="00A133C5"/>
    <w:rsid w:val="00A1371E"/>
    <w:rsid w:val="00A158F3"/>
    <w:rsid w:val="00A171F6"/>
    <w:rsid w:val="00A1759C"/>
    <w:rsid w:val="00A20D51"/>
    <w:rsid w:val="00A23BF7"/>
    <w:rsid w:val="00A24B17"/>
    <w:rsid w:val="00A278A1"/>
    <w:rsid w:val="00A279F5"/>
    <w:rsid w:val="00A34303"/>
    <w:rsid w:val="00A36443"/>
    <w:rsid w:val="00A370C4"/>
    <w:rsid w:val="00A4036D"/>
    <w:rsid w:val="00A4111F"/>
    <w:rsid w:val="00A430ED"/>
    <w:rsid w:val="00A5469C"/>
    <w:rsid w:val="00A55360"/>
    <w:rsid w:val="00A555D1"/>
    <w:rsid w:val="00A557CB"/>
    <w:rsid w:val="00A55BC4"/>
    <w:rsid w:val="00A57F46"/>
    <w:rsid w:val="00A63C0D"/>
    <w:rsid w:val="00A64612"/>
    <w:rsid w:val="00A72F89"/>
    <w:rsid w:val="00A74D95"/>
    <w:rsid w:val="00A7677E"/>
    <w:rsid w:val="00A770AD"/>
    <w:rsid w:val="00A823CA"/>
    <w:rsid w:val="00A841E2"/>
    <w:rsid w:val="00A8429E"/>
    <w:rsid w:val="00A84E73"/>
    <w:rsid w:val="00A90870"/>
    <w:rsid w:val="00A923A8"/>
    <w:rsid w:val="00A93E01"/>
    <w:rsid w:val="00A94E7D"/>
    <w:rsid w:val="00AA023E"/>
    <w:rsid w:val="00AA0C87"/>
    <w:rsid w:val="00AA0C8F"/>
    <w:rsid w:val="00AA363D"/>
    <w:rsid w:val="00AA3AB8"/>
    <w:rsid w:val="00AB1E0D"/>
    <w:rsid w:val="00AB44DE"/>
    <w:rsid w:val="00AB7EDE"/>
    <w:rsid w:val="00AC0250"/>
    <w:rsid w:val="00AD771F"/>
    <w:rsid w:val="00AE3C81"/>
    <w:rsid w:val="00AF1DA8"/>
    <w:rsid w:val="00AF2D86"/>
    <w:rsid w:val="00AF4627"/>
    <w:rsid w:val="00AF4E67"/>
    <w:rsid w:val="00AF5134"/>
    <w:rsid w:val="00B004A7"/>
    <w:rsid w:val="00B0139F"/>
    <w:rsid w:val="00B052F4"/>
    <w:rsid w:val="00B05502"/>
    <w:rsid w:val="00B15304"/>
    <w:rsid w:val="00B211A2"/>
    <w:rsid w:val="00B27C86"/>
    <w:rsid w:val="00B3207D"/>
    <w:rsid w:val="00B325DB"/>
    <w:rsid w:val="00B32DA0"/>
    <w:rsid w:val="00B34A24"/>
    <w:rsid w:val="00B35380"/>
    <w:rsid w:val="00B37014"/>
    <w:rsid w:val="00B379AE"/>
    <w:rsid w:val="00B457F4"/>
    <w:rsid w:val="00B50DCF"/>
    <w:rsid w:val="00B649CB"/>
    <w:rsid w:val="00B656FC"/>
    <w:rsid w:val="00B67B4C"/>
    <w:rsid w:val="00B71495"/>
    <w:rsid w:val="00B728B7"/>
    <w:rsid w:val="00B72E6B"/>
    <w:rsid w:val="00B730B1"/>
    <w:rsid w:val="00B73CDD"/>
    <w:rsid w:val="00B74B23"/>
    <w:rsid w:val="00B77F3D"/>
    <w:rsid w:val="00B80BE8"/>
    <w:rsid w:val="00B817FE"/>
    <w:rsid w:val="00B83941"/>
    <w:rsid w:val="00B8420B"/>
    <w:rsid w:val="00B850F9"/>
    <w:rsid w:val="00B92514"/>
    <w:rsid w:val="00B93458"/>
    <w:rsid w:val="00B936DE"/>
    <w:rsid w:val="00B93993"/>
    <w:rsid w:val="00B9505A"/>
    <w:rsid w:val="00B961B1"/>
    <w:rsid w:val="00B96A6E"/>
    <w:rsid w:val="00BA050D"/>
    <w:rsid w:val="00BA4204"/>
    <w:rsid w:val="00BA57C8"/>
    <w:rsid w:val="00BA7124"/>
    <w:rsid w:val="00BB261E"/>
    <w:rsid w:val="00BC0C48"/>
    <w:rsid w:val="00BC33A9"/>
    <w:rsid w:val="00BC6001"/>
    <w:rsid w:val="00BC6F93"/>
    <w:rsid w:val="00BC78A3"/>
    <w:rsid w:val="00BC7F69"/>
    <w:rsid w:val="00BD2239"/>
    <w:rsid w:val="00BD366B"/>
    <w:rsid w:val="00BD6349"/>
    <w:rsid w:val="00BE2B72"/>
    <w:rsid w:val="00BE414C"/>
    <w:rsid w:val="00C00A36"/>
    <w:rsid w:val="00C0311B"/>
    <w:rsid w:val="00C03204"/>
    <w:rsid w:val="00C066B0"/>
    <w:rsid w:val="00C12880"/>
    <w:rsid w:val="00C1297E"/>
    <w:rsid w:val="00C12E0A"/>
    <w:rsid w:val="00C13C6F"/>
    <w:rsid w:val="00C14D79"/>
    <w:rsid w:val="00C153CA"/>
    <w:rsid w:val="00C22788"/>
    <w:rsid w:val="00C2439F"/>
    <w:rsid w:val="00C27DF0"/>
    <w:rsid w:val="00C27F11"/>
    <w:rsid w:val="00C32A83"/>
    <w:rsid w:val="00C355C4"/>
    <w:rsid w:val="00C3710F"/>
    <w:rsid w:val="00C4369A"/>
    <w:rsid w:val="00C453BD"/>
    <w:rsid w:val="00C47E06"/>
    <w:rsid w:val="00C54C01"/>
    <w:rsid w:val="00C55804"/>
    <w:rsid w:val="00C56641"/>
    <w:rsid w:val="00C60F6D"/>
    <w:rsid w:val="00C61D99"/>
    <w:rsid w:val="00C623F8"/>
    <w:rsid w:val="00C65BF9"/>
    <w:rsid w:val="00C675D9"/>
    <w:rsid w:val="00C719E7"/>
    <w:rsid w:val="00C74E9B"/>
    <w:rsid w:val="00C77B10"/>
    <w:rsid w:val="00C815C9"/>
    <w:rsid w:val="00C83D67"/>
    <w:rsid w:val="00C85323"/>
    <w:rsid w:val="00C86ECB"/>
    <w:rsid w:val="00C97F2F"/>
    <w:rsid w:val="00CA6C74"/>
    <w:rsid w:val="00CA74D4"/>
    <w:rsid w:val="00CA76D9"/>
    <w:rsid w:val="00CB2AD7"/>
    <w:rsid w:val="00CB3597"/>
    <w:rsid w:val="00CB44B3"/>
    <w:rsid w:val="00CC1B22"/>
    <w:rsid w:val="00CC4D9F"/>
    <w:rsid w:val="00CD23E3"/>
    <w:rsid w:val="00CD3409"/>
    <w:rsid w:val="00CD34F7"/>
    <w:rsid w:val="00CD46B3"/>
    <w:rsid w:val="00CE754C"/>
    <w:rsid w:val="00D00FF2"/>
    <w:rsid w:val="00D01E62"/>
    <w:rsid w:val="00D02236"/>
    <w:rsid w:val="00D029AD"/>
    <w:rsid w:val="00D165DB"/>
    <w:rsid w:val="00D239BD"/>
    <w:rsid w:val="00D30152"/>
    <w:rsid w:val="00D32F75"/>
    <w:rsid w:val="00D3578A"/>
    <w:rsid w:val="00D370F1"/>
    <w:rsid w:val="00D404D6"/>
    <w:rsid w:val="00D4361C"/>
    <w:rsid w:val="00D43768"/>
    <w:rsid w:val="00D46AA7"/>
    <w:rsid w:val="00D53FBF"/>
    <w:rsid w:val="00D56CD8"/>
    <w:rsid w:val="00D601A6"/>
    <w:rsid w:val="00D61581"/>
    <w:rsid w:val="00D62BB4"/>
    <w:rsid w:val="00D637F5"/>
    <w:rsid w:val="00D70CCC"/>
    <w:rsid w:val="00D72370"/>
    <w:rsid w:val="00D758A6"/>
    <w:rsid w:val="00D81882"/>
    <w:rsid w:val="00D8197A"/>
    <w:rsid w:val="00D82AB4"/>
    <w:rsid w:val="00D83201"/>
    <w:rsid w:val="00D833F9"/>
    <w:rsid w:val="00D85A08"/>
    <w:rsid w:val="00D85A0E"/>
    <w:rsid w:val="00D865E0"/>
    <w:rsid w:val="00D86E7D"/>
    <w:rsid w:val="00D8775A"/>
    <w:rsid w:val="00D90094"/>
    <w:rsid w:val="00D90CAE"/>
    <w:rsid w:val="00D91124"/>
    <w:rsid w:val="00D914FC"/>
    <w:rsid w:val="00D949CD"/>
    <w:rsid w:val="00D96348"/>
    <w:rsid w:val="00DA3DDE"/>
    <w:rsid w:val="00DA5AEF"/>
    <w:rsid w:val="00DA5D0D"/>
    <w:rsid w:val="00DA6FE9"/>
    <w:rsid w:val="00DB67D2"/>
    <w:rsid w:val="00DC4DC2"/>
    <w:rsid w:val="00DC5080"/>
    <w:rsid w:val="00DC5889"/>
    <w:rsid w:val="00DC5BC5"/>
    <w:rsid w:val="00DD1335"/>
    <w:rsid w:val="00DD36DD"/>
    <w:rsid w:val="00DD5336"/>
    <w:rsid w:val="00DD5C28"/>
    <w:rsid w:val="00DD692C"/>
    <w:rsid w:val="00DD7C2E"/>
    <w:rsid w:val="00DE2EE7"/>
    <w:rsid w:val="00DE5FEC"/>
    <w:rsid w:val="00DE72F0"/>
    <w:rsid w:val="00DE7873"/>
    <w:rsid w:val="00DE7FC5"/>
    <w:rsid w:val="00DF0C27"/>
    <w:rsid w:val="00DF1CE7"/>
    <w:rsid w:val="00DF42CC"/>
    <w:rsid w:val="00DF758B"/>
    <w:rsid w:val="00E02800"/>
    <w:rsid w:val="00E04538"/>
    <w:rsid w:val="00E057B5"/>
    <w:rsid w:val="00E10B8B"/>
    <w:rsid w:val="00E11999"/>
    <w:rsid w:val="00E1467B"/>
    <w:rsid w:val="00E15854"/>
    <w:rsid w:val="00E16EBC"/>
    <w:rsid w:val="00E17367"/>
    <w:rsid w:val="00E21DE7"/>
    <w:rsid w:val="00E24A73"/>
    <w:rsid w:val="00E26B6C"/>
    <w:rsid w:val="00E27B97"/>
    <w:rsid w:val="00E31C7A"/>
    <w:rsid w:val="00E31EC2"/>
    <w:rsid w:val="00E32063"/>
    <w:rsid w:val="00E32CC0"/>
    <w:rsid w:val="00E345C1"/>
    <w:rsid w:val="00E349DD"/>
    <w:rsid w:val="00E468FF"/>
    <w:rsid w:val="00E53B6F"/>
    <w:rsid w:val="00E53FEC"/>
    <w:rsid w:val="00E55C68"/>
    <w:rsid w:val="00E56F65"/>
    <w:rsid w:val="00E658FE"/>
    <w:rsid w:val="00E75272"/>
    <w:rsid w:val="00E778BB"/>
    <w:rsid w:val="00E82A1E"/>
    <w:rsid w:val="00E83D04"/>
    <w:rsid w:val="00E86081"/>
    <w:rsid w:val="00E86C70"/>
    <w:rsid w:val="00E87468"/>
    <w:rsid w:val="00E9247E"/>
    <w:rsid w:val="00E9508C"/>
    <w:rsid w:val="00E954D9"/>
    <w:rsid w:val="00E979AB"/>
    <w:rsid w:val="00EA0BC8"/>
    <w:rsid w:val="00EA1C4E"/>
    <w:rsid w:val="00EA36EF"/>
    <w:rsid w:val="00EA3F9C"/>
    <w:rsid w:val="00EA5615"/>
    <w:rsid w:val="00EA7579"/>
    <w:rsid w:val="00EB3200"/>
    <w:rsid w:val="00EB478C"/>
    <w:rsid w:val="00EB6B17"/>
    <w:rsid w:val="00EC4D31"/>
    <w:rsid w:val="00EC6620"/>
    <w:rsid w:val="00ED0FB9"/>
    <w:rsid w:val="00ED1F61"/>
    <w:rsid w:val="00ED35F8"/>
    <w:rsid w:val="00EE2A11"/>
    <w:rsid w:val="00EE3B74"/>
    <w:rsid w:val="00EE68DF"/>
    <w:rsid w:val="00EF1522"/>
    <w:rsid w:val="00EF3FD6"/>
    <w:rsid w:val="00EF4FC3"/>
    <w:rsid w:val="00EF6129"/>
    <w:rsid w:val="00EF6F5E"/>
    <w:rsid w:val="00F0014B"/>
    <w:rsid w:val="00F044FF"/>
    <w:rsid w:val="00F07D7C"/>
    <w:rsid w:val="00F13C28"/>
    <w:rsid w:val="00F14281"/>
    <w:rsid w:val="00F14D75"/>
    <w:rsid w:val="00F20503"/>
    <w:rsid w:val="00F2160C"/>
    <w:rsid w:val="00F223D2"/>
    <w:rsid w:val="00F24919"/>
    <w:rsid w:val="00F251A3"/>
    <w:rsid w:val="00F31F71"/>
    <w:rsid w:val="00F32704"/>
    <w:rsid w:val="00F4243E"/>
    <w:rsid w:val="00F42686"/>
    <w:rsid w:val="00F437DD"/>
    <w:rsid w:val="00F438EC"/>
    <w:rsid w:val="00F4476E"/>
    <w:rsid w:val="00F44C3A"/>
    <w:rsid w:val="00F4572B"/>
    <w:rsid w:val="00F4608A"/>
    <w:rsid w:val="00F53D16"/>
    <w:rsid w:val="00F5420F"/>
    <w:rsid w:val="00F55A1A"/>
    <w:rsid w:val="00F5736C"/>
    <w:rsid w:val="00F60D26"/>
    <w:rsid w:val="00F63016"/>
    <w:rsid w:val="00F74A21"/>
    <w:rsid w:val="00F765D2"/>
    <w:rsid w:val="00F76940"/>
    <w:rsid w:val="00F81C1C"/>
    <w:rsid w:val="00F827B0"/>
    <w:rsid w:val="00F85E80"/>
    <w:rsid w:val="00F8687E"/>
    <w:rsid w:val="00F9408F"/>
    <w:rsid w:val="00F94553"/>
    <w:rsid w:val="00FA1738"/>
    <w:rsid w:val="00FA2C8F"/>
    <w:rsid w:val="00FA680C"/>
    <w:rsid w:val="00FB146B"/>
    <w:rsid w:val="00FB1585"/>
    <w:rsid w:val="00FB17EC"/>
    <w:rsid w:val="00FB3660"/>
    <w:rsid w:val="00FC19D3"/>
    <w:rsid w:val="00FE22B8"/>
    <w:rsid w:val="00FE5210"/>
    <w:rsid w:val="00FF3C20"/>
    <w:rsid w:val="00FF4491"/>
    <w:rsid w:val="00FF5913"/>
    <w:rsid w:val="00FF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E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F5"/>
    <w:pPr>
      <w:spacing w:after="360" w:line="360" w:lineRule="auto"/>
    </w:pPr>
    <w:rPr>
      <w:rFonts w:ascii="Calibri" w:eastAsia="Calibri" w:hAnsi="Calibri" w:cs="Times New Roman"/>
      <w:sz w:val="32"/>
      <w:szCs w:val="32"/>
    </w:rPr>
  </w:style>
  <w:style w:type="paragraph" w:styleId="Heading1">
    <w:name w:val="heading 1"/>
    <w:basedOn w:val="Normal"/>
    <w:next w:val="Normal"/>
    <w:link w:val="Heading1Char"/>
    <w:uiPriority w:val="9"/>
    <w:qFormat/>
    <w:rsid w:val="00D637F5"/>
    <w:pPr>
      <w:spacing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F5"/>
    <w:rPr>
      <w:rFonts w:ascii="Calibri" w:eastAsia="Calibri" w:hAnsi="Calibri" w:cs="Times New Roman"/>
      <w:b/>
      <w:sz w:val="28"/>
      <w:szCs w:val="28"/>
    </w:rPr>
  </w:style>
  <w:style w:type="character" w:styleId="Strong">
    <w:name w:val="Strong"/>
    <w:basedOn w:val="DefaultParagraphFont"/>
    <w:uiPriority w:val="22"/>
    <w:qFormat/>
    <w:rsid w:val="00D637F5"/>
    <w:rPr>
      <w:b/>
      <w:bCs/>
    </w:rPr>
  </w:style>
  <w:style w:type="paragraph" w:styleId="Header">
    <w:name w:val="header"/>
    <w:basedOn w:val="Normal"/>
    <w:link w:val="HeaderChar"/>
    <w:uiPriority w:val="99"/>
    <w:unhideWhenUsed/>
    <w:rsid w:val="00D6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F5"/>
    <w:rPr>
      <w:rFonts w:ascii="Calibri" w:eastAsia="Calibri" w:hAnsi="Calibri" w:cs="Times New Roman"/>
      <w:sz w:val="32"/>
      <w:szCs w:val="32"/>
    </w:rPr>
  </w:style>
  <w:style w:type="paragraph" w:styleId="Footer">
    <w:name w:val="footer"/>
    <w:basedOn w:val="Normal"/>
    <w:link w:val="FooterChar"/>
    <w:uiPriority w:val="99"/>
    <w:unhideWhenUsed/>
    <w:rsid w:val="00D6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F5"/>
    <w:rPr>
      <w:rFonts w:ascii="Calibri" w:eastAsia="Calibri" w:hAnsi="Calibri" w:cs="Times New Roman"/>
      <w:sz w:val="32"/>
      <w:szCs w:val="32"/>
    </w:rPr>
  </w:style>
  <w:style w:type="paragraph" w:styleId="BalloonText">
    <w:name w:val="Balloon Text"/>
    <w:basedOn w:val="Normal"/>
    <w:link w:val="BalloonTextChar"/>
    <w:uiPriority w:val="99"/>
    <w:semiHidden/>
    <w:unhideWhenUsed/>
    <w:rsid w:val="00D6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F5"/>
    <w:rPr>
      <w:rFonts w:ascii="Tahoma" w:eastAsia="Calibri" w:hAnsi="Tahoma" w:cs="Tahoma"/>
      <w:sz w:val="16"/>
      <w:szCs w:val="16"/>
    </w:rPr>
  </w:style>
  <w:style w:type="paragraph" w:styleId="ListParagraph">
    <w:name w:val="List Paragraph"/>
    <w:basedOn w:val="Normal"/>
    <w:uiPriority w:val="34"/>
    <w:qFormat/>
    <w:rsid w:val="0098392D"/>
    <w:pPr>
      <w:ind w:left="720"/>
      <w:contextualSpacing/>
    </w:pPr>
  </w:style>
  <w:style w:type="character" w:styleId="CommentReference">
    <w:name w:val="annotation reference"/>
    <w:basedOn w:val="DefaultParagraphFont"/>
    <w:uiPriority w:val="99"/>
    <w:semiHidden/>
    <w:unhideWhenUsed/>
    <w:rsid w:val="00B83941"/>
    <w:rPr>
      <w:sz w:val="16"/>
      <w:szCs w:val="16"/>
    </w:rPr>
  </w:style>
  <w:style w:type="paragraph" w:styleId="CommentText">
    <w:name w:val="annotation text"/>
    <w:basedOn w:val="Normal"/>
    <w:link w:val="CommentTextChar"/>
    <w:uiPriority w:val="99"/>
    <w:unhideWhenUsed/>
    <w:rsid w:val="00B83941"/>
    <w:pPr>
      <w:spacing w:line="240" w:lineRule="auto"/>
    </w:pPr>
    <w:rPr>
      <w:sz w:val="20"/>
      <w:szCs w:val="20"/>
    </w:rPr>
  </w:style>
  <w:style w:type="character" w:customStyle="1" w:styleId="CommentTextChar">
    <w:name w:val="Comment Text Char"/>
    <w:basedOn w:val="DefaultParagraphFont"/>
    <w:link w:val="CommentText"/>
    <w:uiPriority w:val="99"/>
    <w:rsid w:val="00B839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3941"/>
    <w:rPr>
      <w:b/>
      <w:bCs/>
    </w:rPr>
  </w:style>
  <w:style w:type="character" w:customStyle="1" w:styleId="CommentSubjectChar">
    <w:name w:val="Comment Subject Char"/>
    <w:basedOn w:val="CommentTextChar"/>
    <w:link w:val="CommentSubject"/>
    <w:uiPriority w:val="99"/>
    <w:semiHidden/>
    <w:rsid w:val="00B83941"/>
    <w:rPr>
      <w:rFonts w:ascii="Calibri" w:eastAsia="Calibri" w:hAnsi="Calibri" w:cs="Times New Roman"/>
      <w:b/>
      <w:bCs/>
      <w:sz w:val="20"/>
      <w:szCs w:val="20"/>
    </w:rPr>
  </w:style>
  <w:style w:type="paragraph" w:styleId="NormalWeb">
    <w:name w:val="Normal (Web)"/>
    <w:basedOn w:val="Normal"/>
    <w:uiPriority w:val="99"/>
    <w:unhideWhenUsed/>
    <w:rsid w:val="00856DC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165DB"/>
  </w:style>
  <w:style w:type="character" w:styleId="Hyperlink">
    <w:name w:val="Hyperlink"/>
    <w:basedOn w:val="DefaultParagraphFont"/>
    <w:uiPriority w:val="99"/>
    <w:unhideWhenUsed/>
    <w:rsid w:val="00F4608A"/>
    <w:rPr>
      <w:color w:val="0000FF"/>
      <w:u w:val="single"/>
    </w:rPr>
  </w:style>
  <w:style w:type="character" w:styleId="FollowedHyperlink">
    <w:name w:val="FollowedHyperlink"/>
    <w:basedOn w:val="DefaultParagraphFont"/>
    <w:uiPriority w:val="99"/>
    <w:semiHidden/>
    <w:unhideWhenUsed/>
    <w:rsid w:val="00B92514"/>
    <w:rPr>
      <w:color w:val="800080" w:themeColor="followedHyperlink"/>
      <w:u w:val="single"/>
    </w:rPr>
  </w:style>
  <w:style w:type="paragraph" w:customStyle="1" w:styleId="Default">
    <w:name w:val="Default"/>
    <w:rsid w:val="00C74E9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 Char Char Char Char Char Char Char Char Char Char Char Char Char Char Char,Footnote Text Char Char Char Char Char Char Char Char Char Char Char Char Char Char Char,*Footnote Text,FN Text,Car"/>
    <w:basedOn w:val="Normal"/>
    <w:link w:val="FootnoteTextChar"/>
    <w:uiPriority w:val="99"/>
    <w:unhideWhenUsed/>
    <w:qFormat/>
    <w:rsid w:val="00763B06"/>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 Char Char Char Char Char Char Char Char Char Char Char,Footnote Text Char Char Char Char Char Char Char Char Char Char Char Char Char Char Char Char1,*Footnote Text Char,FN Text Char"/>
    <w:basedOn w:val="DefaultParagraphFont"/>
    <w:link w:val="FootnoteText"/>
    <w:uiPriority w:val="99"/>
    <w:rsid w:val="00763B06"/>
    <w:rPr>
      <w:sz w:val="20"/>
      <w:szCs w:val="20"/>
    </w:rPr>
  </w:style>
  <w:style w:type="character" w:styleId="FootnoteReference">
    <w:name w:val="footnote reference"/>
    <w:aliases w:val="FN Ref"/>
    <w:basedOn w:val="DefaultParagraphFont"/>
    <w:uiPriority w:val="99"/>
    <w:unhideWhenUsed/>
    <w:qFormat/>
    <w:rsid w:val="00763B06"/>
    <w:rPr>
      <w:vertAlign w:val="superscript"/>
    </w:rPr>
  </w:style>
  <w:style w:type="paragraph" w:styleId="Revision">
    <w:name w:val="Revision"/>
    <w:hidden/>
    <w:uiPriority w:val="99"/>
    <w:semiHidden/>
    <w:rsid w:val="00064F4D"/>
    <w:pPr>
      <w:spacing w:after="0" w:line="240" w:lineRule="auto"/>
    </w:pPr>
    <w:rPr>
      <w:rFonts w:ascii="Calibri" w:eastAsia="Calibri" w:hAnsi="Calibri" w:cs="Times New Roman"/>
      <w:sz w:val="32"/>
      <w:szCs w:val="32"/>
    </w:rPr>
  </w:style>
  <w:style w:type="character" w:customStyle="1" w:styleId="bumpedfont15">
    <w:name w:val="bumpedfont15"/>
    <w:basedOn w:val="DefaultParagraphFont"/>
    <w:rsid w:val="00373133"/>
  </w:style>
  <w:style w:type="paragraph" w:styleId="PlainText">
    <w:name w:val="Plain Text"/>
    <w:basedOn w:val="Normal"/>
    <w:link w:val="PlainTextChar"/>
    <w:uiPriority w:val="99"/>
    <w:unhideWhenUsed/>
    <w:rsid w:val="0070561A"/>
    <w:pPr>
      <w:spacing w:after="0" w:line="240" w:lineRule="auto"/>
    </w:pPr>
    <w:rPr>
      <w:rFonts w:eastAsiaTheme="minorHAnsi" w:cs="Consolas"/>
      <w:sz w:val="22"/>
      <w:szCs w:val="21"/>
    </w:rPr>
  </w:style>
  <w:style w:type="character" w:customStyle="1" w:styleId="PlainTextChar">
    <w:name w:val="Plain Text Char"/>
    <w:basedOn w:val="DefaultParagraphFont"/>
    <w:link w:val="PlainText"/>
    <w:uiPriority w:val="99"/>
    <w:rsid w:val="0070561A"/>
    <w:rPr>
      <w:rFonts w:ascii="Calibr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F5"/>
    <w:pPr>
      <w:spacing w:after="360" w:line="360" w:lineRule="auto"/>
    </w:pPr>
    <w:rPr>
      <w:rFonts w:ascii="Calibri" w:eastAsia="Calibri" w:hAnsi="Calibri" w:cs="Times New Roman"/>
      <w:sz w:val="32"/>
      <w:szCs w:val="32"/>
    </w:rPr>
  </w:style>
  <w:style w:type="paragraph" w:styleId="Heading1">
    <w:name w:val="heading 1"/>
    <w:basedOn w:val="Normal"/>
    <w:next w:val="Normal"/>
    <w:link w:val="Heading1Char"/>
    <w:uiPriority w:val="9"/>
    <w:qFormat/>
    <w:rsid w:val="00D637F5"/>
    <w:pPr>
      <w:spacing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F5"/>
    <w:rPr>
      <w:rFonts w:ascii="Calibri" w:eastAsia="Calibri" w:hAnsi="Calibri" w:cs="Times New Roman"/>
      <w:b/>
      <w:sz w:val="28"/>
      <w:szCs w:val="28"/>
    </w:rPr>
  </w:style>
  <w:style w:type="character" w:styleId="Strong">
    <w:name w:val="Strong"/>
    <w:basedOn w:val="DefaultParagraphFont"/>
    <w:uiPriority w:val="22"/>
    <w:qFormat/>
    <w:rsid w:val="00D637F5"/>
    <w:rPr>
      <w:b/>
      <w:bCs/>
    </w:rPr>
  </w:style>
  <w:style w:type="paragraph" w:styleId="Header">
    <w:name w:val="header"/>
    <w:basedOn w:val="Normal"/>
    <w:link w:val="HeaderChar"/>
    <w:uiPriority w:val="99"/>
    <w:unhideWhenUsed/>
    <w:rsid w:val="00D6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F5"/>
    <w:rPr>
      <w:rFonts w:ascii="Calibri" w:eastAsia="Calibri" w:hAnsi="Calibri" w:cs="Times New Roman"/>
      <w:sz w:val="32"/>
      <w:szCs w:val="32"/>
    </w:rPr>
  </w:style>
  <w:style w:type="paragraph" w:styleId="Footer">
    <w:name w:val="footer"/>
    <w:basedOn w:val="Normal"/>
    <w:link w:val="FooterChar"/>
    <w:uiPriority w:val="99"/>
    <w:unhideWhenUsed/>
    <w:rsid w:val="00D6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F5"/>
    <w:rPr>
      <w:rFonts w:ascii="Calibri" w:eastAsia="Calibri" w:hAnsi="Calibri" w:cs="Times New Roman"/>
      <w:sz w:val="32"/>
      <w:szCs w:val="32"/>
    </w:rPr>
  </w:style>
  <w:style w:type="paragraph" w:styleId="BalloonText">
    <w:name w:val="Balloon Text"/>
    <w:basedOn w:val="Normal"/>
    <w:link w:val="BalloonTextChar"/>
    <w:uiPriority w:val="99"/>
    <w:semiHidden/>
    <w:unhideWhenUsed/>
    <w:rsid w:val="00D6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F5"/>
    <w:rPr>
      <w:rFonts w:ascii="Tahoma" w:eastAsia="Calibri" w:hAnsi="Tahoma" w:cs="Tahoma"/>
      <w:sz w:val="16"/>
      <w:szCs w:val="16"/>
    </w:rPr>
  </w:style>
  <w:style w:type="paragraph" w:styleId="ListParagraph">
    <w:name w:val="List Paragraph"/>
    <w:basedOn w:val="Normal"/>
    <w:uiPriority w:val="34"/>
    <w:qFormat/>
    <w:rsid w:val="0098392D"/>
    <w:pPr>
      <w:ind w:left="720"/>
      <w:contextualSpacing/>
    </w:pPr>
  </w:style>
  <w:style w:type="character" w:styleId="CommentReference">
    <w:name w:val="annotation reference"/>
    <w:basedOn w:val="DefaultParagraphFont"/>
    <w:uiPriority w:val="99"/>
    <w:semiHidden/>
    <w:unhideWhenUsed/>
    <w:rsid w:val="00B83941"/>
    <w:rPr>
      <w:sz w:val="16"/>
      <w:szCs w:val="16"/>
    </w:rPr>
  </w:style>
  <w:style w:type="paragraph" w:styleId="CommentText">
    <w:name w:val="annotation text"/>
    <w:basedOn w:val="Normal"/>
    <w:link w:val="CommentTextChar"/>
    <w:uiPriority w:val="99"/>
    <w:unhideWhenUsed/>
    <w:rsid w:val="00B83941"/>
    <w:pPr>
      <w:spacing w:line="240" w:lineRule="auto"/>
    </w:pPr>
    <w:rPr>
      <w:sz w:val="20"/>
      <w:szCs w:val="20"/>
    </w:rPr>
  </w:style>
  <w:style w:type="character" w:customStyle="1" w:styleId="CommentTextChar">
    <w:name w:val="Comment Text Char"/>
    <w:basedOn w:val="DefaultParagraphFont"/>
    <w:link w:val="CommentText"/>
    <w:uiPriority w:val="99"/>
    <w:rsid w:val="00B839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3941"/>
    <w:rPr>
      <w:b/>
      <w:bCs/>
    </w:rPr>
  </w:style>
  <w:style w:type="character" w:customStyle="1" w:styleId="CommentSubjectChar">
    <w:name w:val="Comment Subject Char"/>
    <w:basedOn w:val="CommentTextChar"/>
    <w:link w:val="CommentSubject"/>
    <w:uiPriority w:val="99"/>
    <w:semiHidden/>
    <w:rsid w:val="00B83941"/>
    <w:rPr>
      <w:rFonts w:ascii="Calibri" w:eastAsia="Calibri" w:hAnsi="Calibri" w:cs="Times New Roman"/>
      <w:b/>
      <w:bCs/>
      <w:sz w:val="20"/>
      <w:szCs w:val="20"/>
    </w:rPr>
  </w:style>
  <w:style w:type="paragraph" w:styleId="NormalWeb">
    <w:name w:val="Normal (Web)"/>
    <w:basedOn w:val="Normal"/>
    <w:uiPriority w:val="99"/>
    <w:unhideWhenUsed/>
    <w:rsid w:val="00856DC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165DB"/>
  </w:style>
  <w:style w:type="character" w:styleId="Hyperlink">
    <w:name w:val="Hyperlink"/>
    <w:basedOn w:val="DefaultParagraphFont"/>
    <w:uiPriority w:val="99"/>
    <w:unhideWhenUsed/>
    <w:rsid w:val="00F4608A"/>
    <w:rPr>
      <w:color w:val="0000FF"/>
      <w:u w:val="single"/>
    </w:rPr>
  </w:style>
  <w:style w:type="character" w:styleId="FollowedHyperlink">
    <w:name w:val="FollowedHyperlink"/>
    <w:basedOn w:val="DefaultParagraphFont"/>
    <w:uiPriority w:val="99"/>
    <w:semiHidden/>
    <w:unhideWhenUsed/>
    <w:rsid w:val="00B92514"/>
    <w:rPr>
      <w:color w:val="800080" w:themeColor="followedHyperlink"/>
      <w:u w:val="single"/>
    </w:rPr>
  </w:style>
  <w:style w:type="paragraph" w:customStyle="1" w:styleId="Default">
    <w:name w:val="Default"/>
    <w:rsid w:val="00C74E9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 Char Char Char Char Char Char Char Char Char Char Char Char Char Char Char,Footnote Text Char Char Char Char Char Char Char Char Char Char Char Char Char Char Char,*Footnote Text,FN Text,Car"/>
    <w:basedOn w:val="Normal"/>
    <w:link w:val="FootnoteTextChar"/>
    <w:uiPriority w:val="99"/>
    <w:unhideWhenUsed/>
    <w:qFormat/>
    <w:rsid w:val="00763B06"/>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 Char Char Char Char Char Char Char Char Char Char Char,Footnote Text Char Char Char Char Char Char Char Char Char Char Char Char Char Char Char Char1,*Footnote Text Char,FN Text Char"/>
    <w:basedOn w:val="DefaultParagraphFont"/>
    <w:link w:val="FootnoteText"/>
    <w:uiPriority w:val="99"/>
    <w:rsid w:val="00763B06"/>
    <w:rPr>
      <w:sz w:val="20"/>
      <w:szCs w:val="20"/>
    </w:rPr>
  </w:style>
  <w:style w:type="character" w:styleId="FootnoteReference">
    <w:name w:val="footnote reference"/>
    <w:aliases w:val="FN Ref"/>
    <w:basedOn w:val="DefaultParagraphFont"/>
    <w:uiPriority w:val="99"/>
    <w:unhideWhenUsed/>
    <w:qFormat/>
    <w:rsid w:val="00763B06"/>
    <w:rPr>
      <w:vertAlign w:val="superscript"/>
    </w:rPr>
  </w:style>
  <w:style w:type="paragraph" w:styleId="Revision">
    <w:name w:val="Revision"/>
    <w:hidden/>
    <w:uiPriority w:val="99"/>
    <w:semiHidden/>
    <w:rsid w:val="00064F4D"/>
    <w:pPr>
      <w:spacing w:after="0" w:line="240" w:lineRule="auto"/>
    </w:pPr>
    <w:rPr>
      <w:rFonts w:ascii="Calibri" w:eastAsia="Calibri" w:hAnsi="Calibri" w:cs="Times New Roman"/>
      <w:sz w:val="32"/>
      <w:szCs w:val="32"/>
    </w:rPr>
  </w:style>
  <w:style w:type="character" w:customStyle="1" w:styleId="bumpedfont15">
    <w:name w:val="bumpedfont15"/>
    <w:basedOn w:val="DefaultParagraphFont"/>
    <w:rsid w:val="00373133"/>
  </w:style>
  <w:style w:type="paragraph" w:styleId="PlainText">
    <w:name w:val="Plain Text"/>
    <w:basedOn w:val="Normal"/>
    <w:link w:val="PlainTextChar"/>
    <w:uiPriority w:val="99"/>
    <w:unhideWhenUsed/>
    <w:rsid w:val="0070561A"/>
    <w:pPr>
      <w:spacing w:after="0" w:line="240" w:lineRule="auto"/>
    </w:pPr>
    <w:rPr>
      <w:rFonts w:eastAsiaTheme="minorHAnsi" w:cs="Consolas"/>
      <w:sz w:val="22"/>
      <w:szCs w:val="21"/>
    </w:rPr>
  </w:style>
  <w:style w:type="character" w:customStyle="1" w:styleId="PlainTextChar">
    <w:name w:val="Plain Text Char"/>
    <w:basedOn w:val="DefaultParagraphFont"/>
    <w:link w:val="PlainText"/>
    <w:uiPriority w:val="99"/>
    <w:rsid w:val="0070561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504">
      <w:bodyDiv w:val="1"/>
      <w:marLeft w:val="0"/>
      <w:marRight w:val="0"/>
      <w:marTop w:val="0"/>
      <w:marBottom w:val="0"/>
      <w:divBdr>
        <w:top w:val="none" w:sz="0" w:space="0" w:color="auto"/>
        <w:left w:val="none" w:sz="0" w:space="0" w:color="auto"/>
        <w:bottom w:val="none" w:sz="0" w:space="0" w:color="auto"/>
        <w:right w:val="none" w:sz="0" w:space="0" w:color="auto"/>
      </w:divBdr>
    </w:div>
    <w:div w:id="107890548">
      <w:bodyDiv w:val="1"/>
      <w:marLeft w:val="0"/>
      <w:marRight w:val="0"/>
      <w:marTop w:val="0"/>
      <w:marBottom w:val="0"/>
      <w:divBdr>
        <w:top w:val="none" w:sz="0" w:space="0" w:color="auto"/>
        <w:left w:val="none" w:sz="0" w:space="0" w:color="auto"/>
        <w:bottom w:val="none" w:sz="0" w:space="0" w:color="auto"/>
        <w:right w:val="none" w:sz="0" w:space="0" w:color="auto"/>
      </w:divBdr>
    </w:div>
    <w:div w:id="256643447">
      <w:bodyDiv w:val="1"/>
      <w:marLeft w:val="0"/>
      <w:marRight w:val="0"/>
      <w:marTop w:val="0"/>
      <w:marBottom w:val="0"/>
      <w:divBdr>
        <w:top w:val="none" w:sz="0" w:space="0" w:color="auto"/>
        <w:left w:val="none" w:sz="0" w:space="0" w:color="auto"/>
        <w:bottom w:val="none" w:sz="0" w:space="0" w:color="auto"/>
        <w:right w:val="none" w:sz="0" w:space="0" w:color="auto"/>
      </w:divBdr>
    </w:div>
    <w:div w:id="311643665">
      <w:bodyDiv w:val="1"/>
      <w:marLeft w:val="0"/>
      <w:marRight w:val="0"/>
      <w:marTop w:val="0"/>
      <w:marBottom w:val="0"/>
      <w:divBdr>
        <w:top w:val="none" w:sz="0" w:space="0" w:color="auto"/>
        <w:left w:val="none" w:sz="0" w:space="0" w:color="auto"/>
        <w:bottom w:val="none" w:sz="0" w:space="0" w:color="auto"/>
        <w:right w:val="none" w:sz="0" w:space="0" w:color="auto"/>
      </w:divBdr>
    </w:div>
    <w:div w:id="394012498">
      <w:bodyDiv w:val="1"/>
      <w:marLeft w:val="0"/>
      <w:marRight w:val="0"/>
      <w:marTop w:val="0"/>
      <w:marBottom w:val="0"/>
      <w:divBdr>
        <w:top w:val="none" w:sz="0" w:space="0" w:color="auto"/>
        <w:left w:val="none" w:sz="0" w:space="0" w:color="auto"/>
        <w:bottom w:val="none" w:sz="0" w:space="0" w:color="auto"/>
        <w:right w:val="none" w:sz="0" w:space="0" w:color="auto"/>
      </w:divBdr>
    </w:div>
    <w:div w:id="407580676">
      <w:bodyDiv w:val="1"/>
      <w:marLeft w:val="0"/>
      <w:marRight w:val="0"/>
      <w:marTop w:val="0"/>
      <w:marBottom w:val="0"/>
      <w:divBdr>
        <w:top w:val="none" w:sz="0" w:space="0" w:color="auto"/>
        <w:left w:val="none" w:sz="0" w:space="0" w:color="auto"/>
        <w:bottom w:val="none" w:sz="0" w:space="0" w:color="auto"/>
        <w:right w:val="none" w:sz="0" w:space="0" w:color="auto"/>
      </w:divBdr>
    </w:div>
    <w:div w:id="428164112">
      <w:bodyDiv w:val="1"/>
      <w:marLeft w:val="0"/>
      <w:marRight w:val="0"/>
      <w:marTop w:val="0"/>
      <w:marBottom w:val="0"/>
      <w:divBdr>
        <w:top w:val="none" w:sz="0" w:space="0" w:color="auto"/>
        <w:left w:val="none" w:sz="0" w:space="0" w:color="auto"/>
        <w:bottom w:val="none" w:sz="0" w:space="0" w:color="auto"/>
        <w:right w:val="none" w:sz="0" w:space="0" w:color="auto"/>
      </w:divBdr>
    </w:div>
    <w:div w:id="462309582">
      <w:bodyDiv w:val="1"/>
      <w:marLeft w:val="0"/>
      <w:marRight w:val="0"/>
      <w:marTop w:val="0"/>
      <w:marBottom w:val="0"/>
      <w:divBdr>
        <w:top w:val="none" w:sz="0" w:space="0" w:color="auto"/>
        <w:left w:val="none" w:sz="0" w:space="0" w:color="auto"/>
        <w:bottom w:val="none" w:sz="0" w:space="0" w:color="auto"/>
        <w:right w:val="none" w:sz="0" w:space="0" w:color="auto"/>
      </w:divBdr>
    </w:div>
    <w:div w:id="483665418">
      <w:bodyDiv w:val="1"/>
      <w:marLeft w:val="0"/>
      <w:marRight w:val="0"/>
      <w:marTop w:val="0"/>
      <w:marBottom w:val="0"/>
      <w:divBdr>
        <w:top w:val="none" w:sz="0" w:space="0" w:color="auto"/>
        <w:left w:val="none" w:sz="0" w:space="0" w:color="auto"/>
        <w:bottom w:val="none" w:sz="0" w:space="0" w:color="auto"/>
        <w:right w:val="none" w:sz="0" w:space="0" w:color="auto"/>
      </w:divBdr>
    </w:div>
    <w:div w:id="587270571">
      <w:bodyDiv w:val="1"/>
      <w:marLeft w:val="0"/>
      <w:marRight w:val="0"/>
      <w:marTop w:val="0"/>
      <w:marBottom w:val="0"/>
      <w:divBdr>
        <w:top w:val="none" w:sz="0" w:space="0" w:color="auto"/>
        <w:left w:val="none" w:sz="0" w:space="0" w:color="auto"/>
        <w:bottom w:val="none" w:sz="0" w:space="0" w:color="auto"/>
        <w:right w:val="none" w:sz="0" w:space="0" w:color="auto"/>
      </w:divBdr>
    </w:div>
    <w:div w:id="594094604">
      <w:bodyDiv w:val="1"/>
      <w:marLeft w:val="0"/>
      <w:marRight w:val="0"/>
      <w:marTop w:val="0"/>
      <w:marBottom w:val="0"/>
      <w:divBdr>
        <w:top w:val="none" w:sz="0" w:space="0" w:color="auto"/>
        <w:left w:val="none" w:sz="0" w:space="0" w:color="auto"/>
        <w:bottom w:val="none" w:sz="0" w:space="0" w:color="auto"/>
        <w:right w:val="none" w:sz="0" w:space="0" w:color="auto"/>
      </w:divBdr>
    </w:div>
    <w:div w:id="655110779">
      <w:bodyDiv w:val="1"/>
      <w:marLeft w:val="0"/>
      <w:marRight w:val="0"/>
      <w:marTop w:val="0"/>
      <w:marBottom w:val="0"/>
      <w:divBdr>
        <w:top w:val="none" w:sz="0" w:space="0" w:color="auto"/>
        <w:left w:val="none" w:sz="0" w:space="0" w:color="auto"/>
        <w:bottom w:val="none" w:sz="0" w:space="0" w:color="auto"/>
        <w:right w:val="none" w:sz="0" w:space="0" w:color="auto"/>
      </w:divBdr>
    </w:div>
    <w:div w:id="691342416">
      <w:bodyDiv w:val="1"/>
      <w:marLeft w:val="0"/>
      <w:marRight w:val="0"/>
      <w:marTop w:val="0"/>
      <w:marBottom w:val="0"/>
      <w:divBdr>
        <w:top w:val="none" w:sz="0" w:space="0" w:color="auto"/>
        <w:left w:val="none" w:sz="0" w:space="0" w:color="auto"/>
        <w:bottom w:val="none" w:sz="0" w:space="0" w:color="auto"/>
        <w:right w:val="none" w:sz="0" w:space="0" w:color="auto"/>
      </w:divBdr>
    </w:div>
    <w:div w:id="730075059">
      <w:bodyDiv w:val="1"/>
      <w:marLeft w:val="0"/>
      <w:marRight w:val="0"/>
      <w:marTop w:val="0"/>
      <w:marBottom w:val="0"/>
      <w:divBdr>
        <w:top w:val="none" w:sz="0" w:space="0" w:color="auto"/>
        <w:left w:val="none" w:sz="0" w:space="0" w:color="auto"/>
        <w:bottom w:val="none" w:sz="0" w:space="0" w:color="auto"/>
        <w:right w:val="none" w:sz="0" w:space="0" w:color="auto"/>
      </w:divBdr>
    </w:div>
    <w:div w:id="844826069">
      <w:bodyDiv w:val="1"/>
      <w:marLeft w:val="0"/>
      <w:marRight w:val="0"/>
      <w:marTop w:val="0"/>
      <w:marBottom w:val="0"/>
      <w:divBdr>
        <w:top w:val="none" w:sz="0" w:space="0" w:color="auto"/>
        <w:left w:val="none" w:sz="0" w:space="0" w:color="auto"/>
        <w:bottom w:val="none" w:sz="0" w:space="0" w:color="auto"/>
        <w:right w:val="none" w:sz="0" w:space="0" w:color="auto"/>
      </w:divBdr>
    </w:div>
    <w:div w:id="1024281204">
      <w:bodyDiv w:val="1"/>
      <w:marLeft w:val="0"/>
      <w:marRight w:val="0"/>
      <w:marTop w:val="0"/>
      <w:marBottom w:val="0"/>
      <w:divBdr>
        <w:top w:val="none" w:sz="0" w:space="0" w:color="auto"/>
        <w:left w:val="none" w:sz="0" w:space="0" w:color="auto"/>
        <w:bottom w:val="none" w:sz="0" w:space="0" w:color="auto"/>
        <w:right w:val="none" w:sz="0" w:space="0" w:color="auto"/>
      </w:divBdr>
    </w:div>
    <w:div w:id="1084952438">
      <w:bodyDiv w:val="1"/>
      <w:marLeft w:val="0"/>
      <w:marRight w:val="0"/>
      <w:marTop w:val="0"/>
      <w:marBottom w:val="0"/>
      <w:divBdr>
        <w:top w:val="none" w:sz="0" w:space="0" w:color="auto"/>
        <w:left w:val="none" w:sz="0" w:space="0" w:color="auto"/>
        <w:bottom w:val="none" w:sz="0" w:space="0" w:color="auto"/>
        <w:right w:val="none" w:sz="0" w:space="0" w:color="auto"/>
      </w:divBdr>
    </w:div>
    <w:div w:id="1092430615">
      <w:bodyDiv w:val="1"/>
      <w:marLeft w:val="0"/>
      <w:marRight w:val="0"/>
      <w:marTop w:val="0"/>
      <w:marBottom w:val="0"/>
      <w:divBdr>
        <w:top w:val="none" w:sz="0" w:space="0" w:color="auto"/>
        <w:left w:val="none" w:sz="0" w:space="0" w:color="auto"/>
        <w:bottom w:val="none" w:sz="0" w:space="0" w:color="auto"/>
        <w:right w:val="none" w:sz="0" w:space="0" w:color="auto"/>
      </w:divBdr>
    </w:div>
    <w:div w:id="1162891948">
      <w:bodyDiv w:val="1"/>
      <w:marLeft w:val="0"/>
      <w:marRight w:val="0"/>
      <w:marTop w:val="0"/>
      <w:marBottom w:val="0"/>
      <w:divBdr>
        <w:top w:val="none" w:sz="0" w:space="0" w:color="auto"/>
        <w:left w:val="none" w:sz="0" w:space="0" w:color="auto"/>
        <w:bottom w:val="none" w:sz="0" w:space="0" w:color="auto"/>
        <w:right w:val="none" w:sz="0" w:space="0" w:color="auto"/>
      </w:divBdr>
      <w:divsChild>
        <w:div w:id="1860046447">
          <w:marLeft w:val="360"/>
          <w:marRight w:val="0"/>
          <w:marTop w:val="120"/>
          <w:marBottom w:val="120"/>
          <w:divBdr>
            <w:top w:val="none" w:sz="0" w:space="0" w:color="auto"/>
            <w:left w:val="none" w:sz="0" w:space="0" w:color="auto"/>
            <w:bottom w:val="none" w:sz="0" w:space="0" w:color="auto"/>
            <w:right w:val="none" w:sz="0" w:space="0" w:color="auto"/>
          </w:divBdr>
        </w:div>
        <w:div w:id="1426029550">
          <w:marLeft w:val="1080"/>
          <w:marRight w:val="0"/>
          <w:marTop w:val="60"/>
          <w:marBottom w:val="60"/>
          <w:divBdr>
            <w:top w:val="none" w:sz="0" w:space="0" w:color="auto"/>
            <w:left w:val="none" w:sz="0" w:space="0" w:color="auto"/>
            <w:bottom w:val="none" w:sz="0" w:space="0" w:color="auto"/>
            <w:right w:val="none" w:sz="0" w:space="0" w:color="auto"/>
          </w:divBdr>
        </w:div>
        <w:div w:id="1052654462">
          <w:marLeft w:val="1080"/>
          <w:marRight w:val="0"/>
          <w:marTop w:val="60"/>
          <w:marBottom w:val="60"/>
          <w:divBdr>
            <w:top w:val="none" w:sz="0" w:space="0" w:color="auto"/>
            <w:left w:val="none" w:sz="0" w:space="0" w:color="auto"/>
            <w:bottom w:val="none" w:sz="0" w:space="0" w:color="auto"/>
            <w:right w:val="none" w:sz="0" w:space="0" w:color="auto"/>
          </w:divBdr>
        </w:div>
        <w:div w:id="1352679264">
          <w:marLeft w:val="1080"/>
          <w:marRight w:val="0"/>
          <w:marTop w:val="60"/>
          <w:marBottom w:val="60"/>
          <w:divBdr>
            <w:top w:val="none" w:sz="0" w:space="0" w:color="auto"/>
            <w:left w:val="none" w:sz="0" w:space="0" w:color="auto"/>
            <w:bottom w:val="none" w:sz="0" w:space="0" w:color="auto"/>
            <w:right w:val="none" w:sz="0" w:space="0" w:color="auto"/>
          </w:divBdr>
        </w:div>
        <w:div w:id="2056808073">
          <w:marLeft w:val="360"/>
          <w:marRight w:val="0"/>
          <w:marTop w:val="120"/>
          <w:marBottom w:val="120"/>
          <w:divBdr>
            <w:top w:val="none" w:sz="0" w:space="0" w:color="auto"/>
            <w:left w:val="none" w:sz="0" w:space="0" w:color="auto"/>
            <w:bottom w:val="none" w:sz="0" w:space="0" w:color="auto"/>
            <w:right w:val="none" w:sz="0" w:space="0" w:color="auto"/>
          </w:divBdr>
        </w:div>
      </w:divsChild>
    </w:div>
    <w:div w:id="1359576767">
      <w:bodyDiv w:val="1"/>
      <w:marLeft w:val="0"/>
      <w:marRight w:val="0"/>
      <w:marTop w:val="0"/>
      <w:marBottom w:val="0"/>
      <w:divBdr>
        <w:top w:val="none" w:sz="0" w:space="0" w:color="auto"/>
        <w:left w:val="none" w:sz="0" w:space="0" w:color="auto"/>
        <w:bottom w:val="none" w:sz="0" w:space="0" w:color="auto"/>
        <w:right w:val="none" w:sz="0" w:space="0" w:color="auto"/>
      </w:divBdr>
    </w:div>
    <w:div w:id="1388989240">
      <w:bodyDiv w:val="1"/>
      <w:marLeft w:val="0"/>
      <w:marRight w:val="0"/>
      <w:marTop w:val="0"/>
      <w:marBottom w:val="0"/>
      <w:divBdr>
        <w:top w:val="none" w:sz="0" w:space="0" w:color="auto"/>
        <w:left w:val="none" w:sz="0" w:space="0" w:color="auto"/>
        <w:bottom w:val="none" w:sz="0" w:space="0" w:color="auto"/>
        <w:right w:val="none" w:sz="0" w:space="0" w:color="auto"/>
      </w:divBdr>
    </w:div>
    <w:div w:id="1592667060">
      <w:bodyDiv w:val="1"/>
      <w:marLeft w:val="0"/>
      <w:marRight w:val="0"/>
      <w:marTop w:val="0"/>
      <w:marBottom w:val="0"/>
      <w:divBdr>
        <w:top w:val="none" w:sz="0" w:space="0" w:color="auto"/>
        <w:left w:val="none" w:sz="0" w:space="0" w:color="auto"/>
        <w:bottom w:val="none" w:sz="0" w:space="0" w:color="auto"/>
        <w:right w:val="none" w:sz="0" w:space="0" w:color="auto"/>
      </w:divBdr>
      <w:divsChild>
        <w:div w:id="1503547110">
          <w:marLeft w:val="0"/>
          <w:marRight w:val="0"/>
          <w:marTop w:val="60"/>
          <w:marBottom w:val="60"/>
          <w:divBdr>
            <w:top w:val="none" w:sz="0" w:space="0" w:color="auto"/>
            <w:left w:val="none" w:sz="0" w:space="0" w:color="auto"/>
            <w:bottom w:val="none" w:sz="0" w:space="0" w:color="auto"/>
            <w:right w:val="none" w:sz="0" w:space="0" w:color="auto"/>
          </w:divBdr>
        </w:div>
      </w:divsChild>
    </w:div>
    <w:div w:id="1633098759">
      <w:bodyDiv w:val="1"/>
      <w:marLeft w:val="0"/>
      <w:marRight w:val="0"/>
      <w:marTop w:val="0"/>
      <w:marBottom w:val="0"/>
      <w:divBdr>
        <w:top w:val="none" w:sz="0" w:space="0" w:color="auto"/>
        <w:left w:val="none" w:sz="0" w:space="0" w:color="auto"/>
        <w:bottom w:val="none" w:sz="0" w:space="0" w:color="auto"/>
        <w:right w:val="none" w:sz="0" w:space="0" w:color="auto"/>
      </w:divBdr>
    </w:div>
    <w:div w:id="1673413444">
      <w:bodyDiv w:val="1"/>
      <w:marLeft w:val="0"/>
      <w:marRight w:val="0"/>
      <w:marTop w:val="0"/>
      <w:marBottom w:val="0"/>
      <w:divBdr>
        <w:top w:val="none" w:sz="0" w:space="0" w:color="auto"/>
        <w:left w:val="none" w:sz="0" w:space="0" w:color="auto"/>
        <w:bottom w:val="none" w:sz="0" w:space="0" w:color="auto"/>
        <w:right w:val="none" w:sz="0" w:space="0" w:color="auto"/>
      </w:divBdr>
    </w:div>
    <w:div w:id="1678387732">
      <w:bodyDiv w:val="1"/>
      <w:marLeft w:val="0"/>
      <w:marRight w:val="0"/>
      <w:marTop w:val="0"/>
      <w:marBottom w:val="0"/>
      <w:divBdr>
        <w:top w:val="none" w:sz="0" w:space="0" w:color="auto"/>
        <w:left w:val="none" w:sz="0" w:space="0" w:color="auto"/>
        <w:bottom w:val="none" w:sz="0" w:space="0" w:color="auto"/>
        <w:right w:val="none" w:sz="0" w:space="0" w:color="auto"/>
      </w:divBdr>
    </w:div>
    <w:div w:id="1757289628">
      <w:bodyDiv w:val="1"/>
      <w:marLeft w:val="0"/>
      <w:marRight w:val="0"/>
      <w:marTop w:val="0"/>
      <w:marBottom w:val="0"/>
      <w:divBdr>
        <w:top w:val="none" w:sz="0" w:space="0" w:color="auto"/>
        <w:left w:val="none" w:sz="0" w:space="0" w:color="auto"/>
        <w:bottom w:val="none" w:sz="0" w:space="0" w:color="auto"/>
        <w:right w:val="none" w:sz="0" w:space="0" w:color="auto"/>
      </w:divBdr>
    </w:div>
    <w:div w:id="1803231957">
      <w:bodyDiv w:val="1"/>
      <w:marLeft w:val="0"/>
      <w:marRight w:val="0"/>
      <w:marTop w:val="0"/>
      <w:marBottom w:val="0"/>
      <w:divBdr>
        <w:top w:val="none" w:sz="0" w:space="0" w:color="auto"/>
        <w:left w:val="none" w:sz="0" w:space="0" w:color="auto"/>
        <w:bottom w:val="none" w:sz="0" w:space="0" w:color="auto"/>
        <w:right w:val="none" w:sz="0" w:space="0" w:color="auto"/>
      </w:divBdr>
      <w:divsChild>
        <w:div w:id="392386332">
          <w:marLeft w:val="0"/>
          <w:marRight w:val="0"/>
          <w:marTop w:val="60"/>
          <w:marBottom w:val="60"/>
          <w:divBdr>
            <w:top w:val="none" w:sz="0" w:space="0" w:color="auto"/>
            <w:left w:val="none" w:sz="0" w:space="0" w:color="auto"/>
            <w:bottom w:val="none" w:sz="0" w:space="0" w:color="auto"/>
            <w:right w:val="none" w:sz="0" w:space="0" w:color="auto"/>
          </w:divBdr>
        </w:div>
      </w:divsChild>
    </w:div>
    <w:div w:id="1851603927">
      <w:bodyDiv w:val="1"/>
      <w:marLeft w:val="0"/>
      <w:marRight w:val="0"/>
      <w:marTop w:val="0"/>
      <w:marBottom w:val="0"/>
      <w:divBdr>
        <w:top w:val="none" w:sz="0" w:space="0" w:color="auto"/>
        <w:left w:val="none" w:sz="0" w:space="0" w:color="auto"/>
        <w:bottom w:val="none" w:sz="0" w:space="0" w:color="auto"/>
        <w:right w:val="none" w:sz="0" w:space="0" w:color="auto"/>
      </w:divBdr>
    </w:div>
    <w:div w:id="1860466031">
      <w:bodyDiv w:val="1"/>
      <w:marLeft w:val="0"/>
      <w:marRight w:val="0"/>
      <w:marTop w:val="0"/>
      <w:marBottom w:val="0"/>
      <w:divBdr>
        <w:top w:val="none" w:sz="0" w:space="0" w:color="auto"/>
        <w:left w:val="none" w:sz="0" w:space="0" w:color="auto"/>
        <w:bottom w:val="none" w:sz="0" w:space="0" w:color="auto"/>
        <w:right w:val="none" w:sz="0" w:space="0" w:color="auto"/>
      </w:divBdr>
    </w:div>
    <w:div w:id="1861159932">
      <w:bodyDiv w:val="1"/>
      <w:marLeft w:val="0"/>
      <w:marRight w:val="0"/>
      <w:marTop w:val="0"/>
      <w:marBottom w:val="0"/>
      <w:divBdr>
        <w:top w:val="none" w:sz="0" w:space="0" w:color="auto"/>
        <w:left w:val="none" w:sz="0" w:space="0" w:color="auto"/>
        <w:bottom w:val="none" w:sz="0" w:space="0" w:color="auto"/>
        <w:right w:val="none" w:sz="0" w:space="0" w:color="auto"/>
      </w:divBdr>
    </w:div>
    <w:div w:id="1895582096">
      <w:bodyDiv w:val="1"/>
      <w:marLeft w:val="0"/>
      <w:marRight w:val="0"/>
      <w:marTop w:val="0"/>
      <w:marBottom w:val="0"/>
      <w:divBdr>
        <w:top w:val="none" w:sz="0" w:space="0" w:color="auto"/>
        <w:left w:val="none" w:sz="0" w:space="0" w:color="auto"/>
        <w:bottom w:val="none" w:sz="0" w:space="0" w:color="auto"/>
        <w:right w:val="none" w:sz="0" w:space="0" w:color="auto"/>
      </w:divBdr>
    </w:div>
    <w:div w:id="1902520401">
      <w:bodyDiv w:val="1"/>
      <w:marLeft w:val="0"/>
      <w:marRight w:val="0"/>
      <w:marTop w:val="0"/>
      <w:marBottom w:val="0"/>
      <w:divBdr>
        <w:top w:val="none" w:sz="0" w:space="0" w:color="auto"/>
        <w:left w:val="none" w:sz="0" w:space="0" w:color="auto"/>
        <w:bottom w:val="none" w:sz="0" w:space="0" w:color="auto"/>
        <w:right w:val="none" w:sz="0" w:space="0" w:color="auto"/>
      </w:divBdr>
    </w:div>
    <w:div w:id="1918586490">
      <w:bodyDiv w:val="1"/>
      <w:marLeft w:val="0"/>
      <w:marRight w:val="0"/>
      <w:marTop w:val="0"/>
      <w:marBottom w:val="0"/>
      <w:divBdr>
        <w:top w:val="none" w:sz="0" w:space="0" w:color="auto"/>
        <w:left w:val="none" w:sz="0" w:space="0" w:color="auto"/>
        <w:bottom w:val="none" w:sz="0" w:space="0" w:color="auto"/>
        <w:right w:val="none" w:sz="0" w:space="0" w:color="auto"/>
      </w:divBdr>
    </w:div>
    <w:div w:id="1925647829">
      <w:bodyDiv w:val="1"/>
      <w:marLeft w:val="0"/>
      <w:marRight w:val="0"/>
      <w:marTop w:val="0"/>
      <w:marBottom w:val="0"/>
      <w:divBdr>
        <w:top w:val="none" w:sz="0" w:space="0" w:color="auto"/>
        <w:left w:val="none" w:sz="0" w:space="0" w:color="auto"/>
        <w:bottom w:val="none" w:sz="0" w:space="0" w:color="auto"/>
        <w:right w:val="none" w:sz="0" w:space="0" w:color="auto"/>
      </w:divBdr>
    </w:div>
    <w:div w:id="1926302485">
      <w:bodyDiv w:val="1"/>
      <w:marLeft w:val="0"/>
      <w:marRight w:val="0"/>
      <w:marTop w:val="0"/>
      <w:marBottom w:val="0"/>
      <w:divBdr>
        <w:top w:val="none" w:sz="0" w:space="0" w:color="auto"/>
        <w:left w:val="none" w:sz="0" w:space="0" w:color="auto"/>
        <w:bottom w:val="none" w:sz="0" w:space="0" w:color="auto"/>
        <w:right w:val="none" w:sz="0" w:space="0" w:color="auto"/>
      </w:divBdr>
    </w:div>
    <w:div w:id="19290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5CC18F70DDB45AD77AD278E839D81" ma:contentTypeVersion="0" ma:contentTypeDescription="Create a new document." ma:contentTypeScope="" ma:versionID="c500e4aa8631c4400a8a0b2835687c88">
  <xsd:schema xmlns:xsd="http://www.w3.org/2001/XMLSchema" xmlns:xs="http://www.w3.org/2001/XMLSchema" xmlns:p="http://schemas.microsoft.com/office/2006/metadata/properties" targetNamespace="http://schemas.microsoft.com/office/2006/metadata/properties" ma:root="true" ma:fieldsID="19939be4ba7740a609fd0aebc97884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10CD-49FD-451C-98DB-F68C4703D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FE2747-62A0-40E0-B424-A309FF91F07D}">
  <ds:schemaRefs>
    <ds:schemaRef ds:uri="http://schemas.microsoft.com/sharepoint/v3/contenttype/forms"/>
  </ds:schemaRefs>
</ds:datastoreItem>
</file>

<file path=customXml/itemProps3.xml><?xml version="1.0" encoding="utf-8"?>
<ds:datastoreItem xmlns:ds="http://schemas.openxmlformats.org/officeDocument/2006/customXml" ds:itemID="{27C2D4CD-ECCC-4E2A-A207-B38CE0F5EE5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324870E-7C96-1E43-B855-D47DF106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3212</Words>
  <Characters>18312</Characters>
  <Application>Microsoft Macintosh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ICI</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Dunn</dc:creator>
  <cp:lastModifiedBy>Leslie O'Flahavan</cp:lastModifiedBy>
  <cp:revision>2</cp:revision>
  <cp:lastPrinted>2015-06-09T13:56:00Z</cp:lastPrinted>
  <dcterms:created xsi:type="dcterms:W3CDTF">2015-11-11T17:31:00Z</dcterms:created>
  <dcterms:modified xsi:type="dcterms:W3CDTF">2015-11-11T17:31:00Z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0x010100E165CC18F70DDB45AD77AD278E839D81</vt:lpwstr>
  </property>
</Properties>
</file>